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ind w:left="700" w:hanging="198"/>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805"/>
        <w:spacing w:after="0" w:line="500" w:lineRule="auto"/>
        <w:tabs>
          <w:tab w:leader="none" w:pos="1307" w:val="left"/>
        </w:tabs>
        <w:numPr>
          <w:ilvl w:val="2"/>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210"/>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920" w:hanging="206"/>
        <w:spacing w:after="0"/>
        <w:tabs>
          <w:tab w:leader="none" w:pos="9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ind w:left="36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Kit Shing, CHEUNG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+852-2398-8699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michaelcheung@etoilesfin.com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Class A Ordinary Shares, par value $0.0001</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EFTY</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20,110,000 Ordinary Shares, par value of $0.0001, consisting of 15,110,000 Class A Ordinary Share and 5,000,000 Class B Ordinary Share, issued and outstanding as of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100" w:space="720"/>
            <w:col w:w="3100" w:space="720"/>
            <w:col w:w="3600"/>
          </w:cols>
          <w:pgMar w:left="320" w:top="877"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92" w:lineRule="exact"/>
        <w:rPr>
          <w:sz w:val="20"/>
          <w:szCs w:val="20"/>
          <w:color w:val="auto"/>
        </w:rPr>
      </w:pPr>
    </w:p>
    <w:p>
      <w:pPr>
        <w:sectPr>
          <w:pgSz w:w="11900" w:h="16838" w:orient="portrait"/>
          <w:cols w:equalWidth="0" w:num="3">
            <w:col w:w="1320" w:space="720"/>
            <w:col w:w="5280" w:space="660"/>
            <w:col w:w="3260"/>
          </w:cols>
          <w:pgMar w:left="320" w:top="877" w:right="339" w:bottom="1440" w:gutter="0" w:footer="0" w:header="0"/>
          <w:type w:val="continuous"/>
        </w:sect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0" w:lineRule="exact"/>
        <w:rPr>
          <w:rFonts w:ascii="Times New Roman" w:cs="Times New Roman" w:eastAsia="Times New Roman" w:hAnsi="Times New Roman"/>
          <w:sz w:val="18"/>
          <w:szCs w:val="18"/>
          <w:color w:val="auto"/>
        </w:rPr>
      </w:pPr>
    </w:p>
    <w:p>
      <w:pPr>
        <w:ind w:left="9880" w:hanging="208"/>
        <w:spacing w:after="0" w:line="196" w:lineRule="exact"/>
        <w:tabs>
          <w:tab w:leader="none" w:pos="9880" w:val="left"/>
        </w:tabs>
        <w:numPr>
          <w:ilvl w:val="1"/>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27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Securities Exchange Act of 1934).</w:t>
      </w:r>
    </w:p>
    <w:p>
      <w:pPr>
        <w:spacing w:after="0" w:line="121"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dentity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dvisers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2.</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ffer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tatistics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xpected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imetable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140" w:type="dxa"/>
            <w:vAlign w:val="bottom"/>
            <w:tcBorders>
              <w:top w:val="single" w:sz="8" w:color="CCEEFF"/>
            </w:tcBorders>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3.</w:t>
            </w:r>
          </w:p>
        </w:tc>
        <w:tc>
          <w:tcPr>
            <w:tcW w:w="29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K</w:t>
            </w:r>
            <w:r>
              <w:rPr>
                <w:rFonts w:ascii="Times New Roman" w:cs="Times New Roman" w:eastAsia="Times New Roman" w:hAnsi="Times New Roman"/>
                <w:sz w:val="12"/>
                <w:szCs w:val="12"/>
                <w:color w:val="0000EE"/>
              </w:rPr>
              <w:t>ey</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618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nformation on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4A.</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2"/>
                <w:szCs w:val="12"/>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5.</w:t>
            </w:r>
          </w:p>
        </w:tc>
        <w:tc>
          <w:tcPr>
            <w:tcW w:w="33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perating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eview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rospects</w:t>
            </w:r>
          </w:p>
        </w:tc>
        <w:tc>
          <w:tcPr>
            <w:tcW w:w="572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6.</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mployees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7.</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ajor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hareholders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elated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arty</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ransactions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1140" w:type="dxa"/>
            <w:vAlign w:val="bottom"/>
            <w:tcBorders>
              <w:top w:val="single" w:sz="8" w:color="CCEEFF"/>
            </w:tcBorders>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8.</w:t>
            </w:r>
          </w:p>
        </w:tc>
        <w:tc>
          <w:tcPr>
            <w:tcW w:w="390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520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9.</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he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ffer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10.</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dditional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11.</w:t>
            </w:r>
          </w:p>
        </w:tc>
        <w:tc>
          <w:tcPr>
            <w:tcW w:w="45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w:t>
            </w:r>
            <w:r>
              <w:rPr>
                <w:rFonts w:ascii="Times New Roman" w:cs="Times New Roman" w:eastAsia="Times New Roman" w:hAnsi="Times New Roman"/>
                <w:sz w:val="12"/>
                <w:szCs w:val="12"/>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2"/>
                <w:szCs w:val="12"/>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isk</w:t>
            </w:r>
          </w:p>
        </w:tc>
        <w:tc>
          <w:tcPr>
            <w:tcW w:w="460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12.</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escription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 than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13.</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efaults</w:t>
            </w:r>
            <w:r>
              <w:rPr>
                <w:rFonts w:ascii="Times New Roman" w:cs="Times New Roman" w:eastAsia="Times New Roman" w:hAnsi="Times New Roman"/>
                <w:sz w:val="18"/>
                <w:szCs w:val="18"/>
                <w:color w:val="0000EE"/>
              </w:rPr>
              <w:t>, D</w:t>
            </w:r>
            <w:r>
              <w:rPr>
                <w:rFonts w:ascii="Times New Roman" w:cs="Times New Roman" w:eastAsia="Times New Roman" w:hAnsi="Times New Roman"/>
                <w:sz w:val="12"/>
                <w:szCs w:val="12"/>
                <w:color w:val="0000EE"/>
              </w:rPr>
              <w:t>ividend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rrearages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elinquencies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14.</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aterial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odifications to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ecurity</w:t>
            </w:r>
            <w:r>
              <w:rPr>
                <w:rFonts w:ascii="Times New Roman" w:cs="Times New Roman" w:eastAsia="Times New Roman" w:hAnsi="Times New Roman"/>
                <w:sz w:val="18"/>
                <w:szCs w:val="18"/>
                <w:color w:val="0000EE"/>
              </w:rPr>
              <w:t xml:space="preserve"> H</w:t>
            </w:r>
            <w:r>
              <w:rPr>
                <w:rFonts w:ascii="Times New Roman" w:cs="Times New Roman" w:eastAsia="Times New Roman" w:hAnsi="Times New Roman"/>
                <w:sz w:val="12"/>
                <w:szCs w:val="12"/>
                <w:color w:val="0000EE"/>
              </w:rPr>
              <w:t>olders and</w:t>
            </w:r>
            <w:r>
              <w:rPr>
                <w:rFonts w:ascii="Times New Roman" w:cs="Times New Roman" w:eastAsia="Times New Roman" w:hAnsi="Times New Roman"/>
                <w:sz w:val="18"/>
                <w:szCs w:val="18"/>
                <w:color w:val="0000EE"/>
              </w:rPr>
              <w:t xml:space="preserve"> U</w:t>
            </w:r>
            <w:r>
              <w:rPr>
                <w:rFonts w:ascii="Times New Roman" w:cs="Times New Roman" w:eastAsia="Times New Roman" w:hAnsi="Times New Roman"/>
                <w:sz w:val="12"/>
                <w:szCs w:val="12"/>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15.</w:t>
            </w:r>
          </w:p>
        </w:tc>
        <w:tc>
          <w:tcPr>
            <w:tcW w:w="18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rocedures</w:t>
            </w:r>
          </w:p>
        </w:tc>
        <w:tc>
          <w:tcPr>
            <w:tcW w:w="724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2"/>
                <w:szCs w:val="12"/>
                <w:color w:val="0000EE"/>
              </w:rPr>
              <w:t>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16A.</w:t>
            </w:r>
          </w:p>
        </w:tc>
        <w:tc>
          <w:tcPr>
            <w:tcW w:w="25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xpert</w:t>
            </w:r>
          </w:p>
        </w:tc>
        <w:tc>
          <w:tcPr>
            <w:tcW w:w="660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16B.</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ode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thics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16C.</w:t>
            </w:r>
          </w:p>
        </w:tc>
        <w:tc>
          <w:tcPr>
            <w:tcW w:w="2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ervices</w:t>
            </w:r>
          </w:p>
        </w:tc>
        <w:tc>
          <w:tcPr>
            <w:tcW w:w="622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16D.</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xemptions from the</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tandards for</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16E.</w:t>
            </w:r>
          </w:p>
        </w:tc>
        <w:tc>
          <w:tcPr>
            <w:tcW w:w="51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 by the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ssuer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ffiliated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urchasers</w:t>
            </w:r>
          </w:p>
        </w:tc>
        <w:tc>
          <w:tcPr>
            <w:tcW w:w="39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16F.</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hange 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2"/>
                <w:szCs w:val="12"/>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ertifying</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16G.</w:t>
            </w:r>
          </w:p>
        </w:tc>
        <w:tc>
          <w:tcPr>
            <w:tcW w:w="16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2"/>
                <w:szCs w:val="12"/>
                <w:color w:val="0000EE"/>
              </w:rPr>
              <w:t>overnance</w:t>
            </w:r>
          </w:p>
        </w:tc>
        <w:tc>
          <w:tcPr>
            <w:tcW w:w="742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16H.</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16I.</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isclosure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oreign</w:t>
            </w:r>
            <w:r>
              <w:rPr>
                <w:rFonts w:ascii="Times New Roman" w:cs="Times New Roman" w:eastAsia="Times New Roman" w:hAnsi="Times New Roman"/>
                <w:sz w:val="18"/>
                <w:szCs w:val="18"/>
                <w:color w:val="0000EE"/>
              </w:rPr>
              <w:t xml:space="preserve"> J</w:t>
            </w:r>
            <w:r>
              <w:rPr>
                <w:rFonts w:ascii="Times New Roman" w:cs="Times New Roman" w:eastAsia="Times New Roman" w:hAnsi="Times New Roman"/>
                <w:sz w:val="12"/>
                <w:szCs w:val="12"/>
                <w:color w:val="0000EE"/>
              </w:rPr>
              <w:t>urisdictions that</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revent</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nspections</w:t>
            </w:r>
            <w:r>
              <w:rPr>
                <w:rFonts w:ascii="Times New Roman" w:cs="Times New Roman" w:eastAsia="Times New Roman" w:hAnsi="Times New Roman"/>
                <w:sz w:val="18"/>
                <w:szCs w:val="18"/>
                <w:color w:val="0000EE"/>
              </w:rPr>
              <w: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1140" w:type="dxa"/>
            <w:vAlign w:val="bottom"/>
            <w:tcBorders>
              <w:top w:val="single" w:sz="8" w:color="CCEEFF"/>
            </w:tcBorders>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16J.</w:t>
            </w:r>
          </w:p>
        </w:tc>
        <w:tc>
          <w:tcPr>
            <w:tcW w:w="502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nsider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rading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olicies</w:t>
            </w:r>
          </w:p>
        </w:tc>
        <w:tc>
          <w:tcPr>
            <w:tcW w:w="408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16K.</w:t>
            </w:r>
          </w:p>
        </w:tc>
        <w:tc>
          <w:tcPr>
            <w:tcW w:w="91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ybersecurity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17.</w:t>
            </w:r>
          </w:p>
        </w:tc>
        <w:tc>
          <w:tcPr>
            <w:tcW w:w="91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18.</w:t>
            </w:r>
          </w:p>
        </w:tc>
        <w:tc>
          <w:tcPr>
            <w:tcW w:w="1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756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1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19.</w:t>
            </w:r>
          </w:p>
        </w:tc>
        <w:tc>
          <w:tcPr>
            <w:tcW w:w="6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xhibits</w:t>
            </w:r>
          </w:p>
        </w:tc>
        <w:tc>
          <w:tcPr>
            <w:tcW w:w="8500" w:type="dxa"/>
            <w:vAlign w:val="bottom"/>
            <w:gridSpan w:val="27"/>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 the term:</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Memorandum and Articles” refers to our second amended and restated memorandum of association and articles of association adopted by special resolution passed on May 20, 2025, and each is referred to as the Amended Memorandum and the Amended Articles;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including the special administrative regions of Hong Kong, Macau and Taiwan. For reference to specific laws and regulations adopted by the PRC, the definition of “China” or the “PRC” refers to the People’s Republic of China, excluding Hong Kong, Macau and Taiwan;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the Class A ordinary shares, par value of US$0.0001 per share, of Etoiles Capital Group Co.,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the Class B ordinary shares, par value of US$0.0001 per share, of Etoiles Capital Group Co., Ltd;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 as amended, supplemented or otherwise modified from time to time;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refer to the ultimate beneficial owner of the Company, Etoiles Zeneo Investment Limited, which is held by Mr. Kit Shing, CHEUNG. See “Management” and “Principal Shareholders”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Consultancy” refers to Etoiles Consultancy Limited, our Hong Kong operating subsidiary;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Financial” refers to Etoiles Financial Group Limited, one of our Hong Kong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Vision” refers to Etoiles Vision Technology (Shenzhen) Company Limited, our PRC subsidiary;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Original” refers to Etoiles Original Limited, one of our BVI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or “FY” refers to Financial year ended or, as the case may be, ending December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“HKD,” “HK$” or “HK Dollar” refers the legal currency of Hong Kong;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laws” refers to all applicable laws, statutes, rules, regulations, ordinances and other pronouncements having the binding effect of law in Hong Kong;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refers to the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refers to the British Virgin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Operating Subsidiary” refers to Etoiles Consultancy;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or “PRC” refers to the People’s Republic of China (excluding Hong Kong, Macau and Taiwan);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or “PRC authorities”, or variations of such words or similar expressions, refer to the central, provincial, and local governments of all levels in mainland China, including regulatory and administrative authorities, agencies and commissions, or any court, tribunal or any other judicial or arbitral body in mainland China;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or “PRC regulations,” or variations of such words or similar expressions, refers to all applicable laws, statutes, rules, regulations, ordinances and other pronouncements having the binding effect of law in mainland China;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“Shares”, or “Ordinary Shares” refer to the Class A Ordinary Shares and Class B Ordinary Shares of Etoiles Capital Group Co., Ltd;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Cayman,” the “Company,” “we” or “us” refers to Etoiles Capital Group Co., Ltd, a Cayman Islands company and its wholly-owned and indirect wholly-owned subsidiaries, unless the context otherwise indicates;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“Zynergy BVI” refers to Zynergy Holding Co., Limited, our British Virgin Islands subsidiary and the direct holding company of Etoiles Consultancy and Etoiles Financial.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Etoiles Cayman is an exempted company with limited liability incorporated under the laws of the Cayman Islands as a holding company with operations conducted in Hong Kong through its Hong Kong Operating Subsidiary, Etoiles Consultancy. Our Hong Kong Operating Subsidiary’s reporting currency is HK$. This annual report contains translations of certain foreign currency amounts into U.S. dollars for the convenience of the reader. Assets and liabilities are translated into US$ from the respective local currencies at the year-end exchange rate, revenues and expenses are translated at the average exchange rate during the year, and capital accounts are translated at their historical exchange rates when the capital transactions occurred. The year-end and year-average exchange rates are as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 HK$ exchange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7.7677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19"/>
                <w:szCs w:val="19"/>
                <w:color w:val="auto"/>
              </w:rPr>
            </w:pP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Year average $: HK$ exchange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7.7956</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7.8030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7.8292</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make no representation that the HKD or U.S. dollar amounts referred to in this annual report could have been or could be converted into U.S. dollars or HKD, as the case may be, at any particular rate or at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fiscal year ends on December 31.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the industry and market data used in this annual report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annual report other than to the extent specifically cited in this annual report. We have sought to provide current information in this annual report and believe that the statistics provided in this annual report remain up-to-date and reliable, and these materials are not incorporated in this annual report other than to the extent specifically cited in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are based on our management’s beliefs and assumptions and on information currently available to us. All statements other than statements of historical facts are forward-looking statements. These statements relate to future events or to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can identify forward-looking statements by terms such as “may,” “could,” “will,” “should,” “would,” “expect,” “plan,” “intend,” “anticipate,” “believe,” “estimate,” “predict,” “potential,” “project” or “continue” or the negative of these terms or other similar expressions. The forward-looking statements include, but are not limited to, statements about:</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and operating results, including revenues, income, expenditures, cash balances and other financial items;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expansion and acquisition strategies, including our ability to meet our goals;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economic and 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subsidiaries’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expansion of our subsidiaries’ client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relationships with their business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all necessary government certifications, approvals, and/or licenses to conduct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managing our growth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 and our ability to raise any additional financing which we may require;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protect their intellectual property rights and secure the right to use other intellectual property that they deem to be essential or desirable to the conduct of their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our senior management and key employees;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management personnel and key employees in order to develop our subsidiaries’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industry and market performance;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recurrence of the COVID-19 pandemic and scope of related government orders and restrictions and the extent of the impact of the COVID-19 pandemic on the global economy, impact it may have on our operations, the demand for our products and services, and economic activity in general;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assumptions described in this annual report underlying or relating to any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Factors that may cause actual results to differ materially from current expectations include, among other things, those listed under the heading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w:t>
      </w:r>
      <w:r>
        <w:rPr>
          <w:rFonts w:ascii="Times New Roman" w:cs="Times New Roman" w:eastAsia="Times New Roman" w:hAnsi="Times New Roman"/>
          <w:sz w:val="18"/>
          <w:szCs w:val="18"/>
          <w:i w:val="1"/>
          <w:iCs w:val="1"/>
          <w:color w:val="auto"/>
        </w:rPr>
        <w:t>Item 3. Key Information—3.D. Risk Factors.</w:t>
      </w:r>
      <w:r>
        <w:rPr>
          <w:rFonts w:ascii="Times New Roman" w:cs="Times New Roman" w:eastAsia="Times New Roman" w:hAnsi="Times New Roman"/>
          <w:sz w:val="18"/>
          <w:szCs w:val="18"/>
          <w:color w:val="auto"/>
        </w:rPr>
        <w:t>” Those risks are not exhaustive. We operate in an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41"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I</w:t>
      </w:r>
      <w:r>
        <w:rPr>
          <w:rFonts w:ascii="Times New Roman" w:cs="Times New Roman" w:eastAsia="Times New Roman" w:hAnsi="Times New Roman"/>
          <w:sz w:val="12"/>
          <w:szCs w:val="12"/>
          <w:b w:val="1"/>
          <w:bCs w:val="1"/>
          <w:color w:val="auto"/>
        </w:rPr>
        <w:t>dentity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O</w:t>
      </w:r>
      <w:r>
        <w:rPr>
          <w:rFonts w:ascii="Times New Roman" w:cs="Times New Roman" w:eastAsia="Times New Roman" w:hAnsi="Times New Roman"/>
          <w:sz w:val="12"/>
          <w:szCs w:val="12"/>
          <w:b w:val="1"/>
          <w:bCs w:val="1"/>
          <w:color w:val="auto"/>
        </w:rPr>
        <w:t>ffer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tatistics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xpected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 K</w:t>
      </w:r>
      <w:r>
        <w:rPr>
          <w:rFonts w:ascii="Times New Roman" w:cs="Times New Roman" w:eastAsia="Times New Roman" w:hAnsi="Times New Roman"/>
          <w:sz w:val="12"/>
          <w:szCs w:val="12"/>
          <w:b w:val="1"/>
          <w:bCs w:val="1"/>
          <w:color w:val="auto"/>
        </w:rPr>
        <w:t>ey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revenue from our integrated investor relation business is non-recurring in nature and our profitability is highly unpredictable.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of our integrated investor relation services depends, to a large extent, on our ability to leverage our business network and relationships to source and retain clients. A portion of our contracts are negotiated on a project-by-project basis with our clients, the revenue generated from our services may fluctuate from time to time and often does not recur. The number of projects undertaken by us, the revenue generated from each client and the total revenue derived from our projects are affected by numerous factors such as market conditions, the terms of each engagement, manpower required, subcontracting arrangement, project duration and the complexity and completion timeline of each project, resulting in uncertainties in relation to the sustainability of our financial performance. There is no assurance that the clients which have previously sought our services will continue to retain us for future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 of our revenue from the provision of integrated investor relation services were project-based services. However, the extent of such project-based services provided, as well as our fee levels, are subject to our clients’ demands. Accordingly, our revenue may vary from period to period depending upon the number, type and fee level of our services. Our future results of operations will depend upon our ability to maintain or increase the number of our clients and projects at acceptable fee levels. In addition, the timing of completion of our projects will affect our cash flows generated from operations, and delays in the completion of our projects may defer payments from our clients, which would adversely affect our cash flows and results of operations. If we are not able to maintain or grow our current fee levels or maintain or increase the number of our clients, both of which are dependent on various factors such as competition and economic conditions, our results of operations may be adversely affected. In these circumstances, our revenue and profitability may fluctuate from year to year and our future financial performance is therefore highly unpredictable.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do not enter into exclusive service agreements with our existing clients, it is difficult to predict our future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Hong Kong Operating Subsidiary’s service agreements with our clients are entered into on a project basis and not through long term exclusive agreements. For those service agreements over a period of time, they are generally non-exclusive. Therefore, we cannot assure you that a client will engage us for future services once the service agreements have been completed, or that a client will not reduce the scope of, or terminate, the existing projects. Since we do not have exclusive service agreements with our existing integrated investor relation clients, our client service agreements may be terminated from time to time due to various reasons beyond our control, making it difficult to predict our future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condition of our clients may deteriorate and their fee settlement to us may be slow, which may adversely affect our cash flows, working capital,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decline in the financial condition of our clients would hinder our ability to collect payments from our clients, and would also result in a decrease in demand for our services in the future. A lack of liquidity in the capital markets, or a sustained period of unfavorable general economic conditions or conditions affecting the operations or industries of our clients may increase our exposure to credit risks and result in increases in our allowance for doubtful receivables. These factors may also materially and adversely affect our cash flows, working capital, financial condition and results of operations. We are also subject to the risk of payment deferral by our clients as part of our business operations. We cannot assure you that we will be able to fully recover the outstanding amounts due from our clients, if at all, or that they will settle the amounts in a timely manner. If settlements by our clients are not made in full or in a timely manner, our financial condition and results of operations will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may be adversely affected if third parties to whom we outsource a small portion of our integrated investor relation services fail to perform satisfactorily and/or there occur negative events concerning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Hong Kong Operating Subsidiary outsource a small portion of our services to third parties in the course of our business. We primarily outsource certain roadshow arrangement services and other ancillary services to public relation companies. If these third parties do not perform their services satisfactorily, or if they decide not to continue to provide such services to us, our business could be adversely affected. If we fail to identify and secure comparable third party service providers in a timely manner and on commercially reasonable terms, we may experience delays in providing services to our clients, which may negatively affect our business. Any service interruptions experienced by our clients could negatively impact our reputation, resulting in loss of existing clients and inability to attract new clients. Furthermore, we may even become subject to civil claims by our clients or other third parties. Under such circumstances, our business, financial condition and results of operations may be materially and adversely affected. Moreover, our reputation is susceptible to damage in case of any negative events in relation to our operations, including, without limitation, negative publicity or media coverage, development of scandals, litigation and disputes, and regulatory enquiries or enforcement actions taken against us or our employees. We cannot assure that such negative events will not happen in the future. If they materialize, it may have a material adverse impact on our reputation and in turn our business activities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key management and professional staff, the loss of whom may affect our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Group has an experienced and competent management team that is responsible for directing and managing our daily operations, overseeing our financial condition and performance, and formulating our business strategies. Leveraging on their experience and networks in the industry, we have been successfully expanding our business. However, we cannot assure you that we can retain the services of our key management and find suitable replacements if any of them terminates his or her engagement with us, given the intense competition for experienced and competent personnel in the industry. Other than our key management, we also rely on our professional staff in different business operations to implement our business strategies, provide quality services to clients, maintain relationship with clients and procure new clients. Loss of our professional staff and failure to recruit replacement will materially and adversely affect our business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changes in the laws and regulations governing the companies listed on the stock exchanges in Hong Kong and the U.S.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large number of our clients were companies to be listed or already listed on the stock exchanges in Hong Kong, and a small number of our clients were companies to be listed or already listed on the stock exchanges in the U.S. Our clients are therefore subject to all applicable laws and regulations relating to the listing of their securities on the stock exchange in Hong Kong and the U.S., including but not limited to, the Rules Governing the Listing of Securities on the Stock Exchange of Hong Kong Limited and the Nasdaq Listing Rules. As a result, our results of operations are affected by changes in the regulatory environment in Hong Kong and the U.S. Any change in Hong Kong and PRC laws and regulations, such as additional restrictions or requirements on integrated investor relation services providers, or new regulations that impose new restrictions on the ability of companies to list on the stock exchanges in Hong Kong and the U.S., or the abolishment of or amendment to disclosure requirements imposed on listed companies, may also adversely affect the demand for our services, which may in turn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pressure on the level of our service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determination of service fees is primarily based on demand for our services, cost of services, and the service fees charged by our competitors for the same or similar services, we cannot assure you that we will be able to maintain the level of the service fees that we currently charge. In the event that the demand for our services decreases, or the level of the service fees decreases in the future due to existing or new competition or any other factors beyond our control, we may have to reduce the current level of fees charged for our services, which may materially and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arbitration or other legal proceeding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arbitration claims and lawsuits in the ordinary course of our business. As of the date of this annual report, we are not a party to, and are not aware of any threat of, any legal proceeding that, in the opinion of our management, is likely to have a material adverse effect on our business, financial condition or operations. Actions brought against us may result in settlements, awards, injunctions, fines, penalties and other results adverse to us. A substantial judgment, settlement, fine or penalty could be material to our operating results or cash flows for a particular period, depending on our results for that period, or could cause us significant reputational harm, which could harm our business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clients’ information confidential or if we handle information improperly or make misstatements of such information, our business and reputation could be materially and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private and confidential information and documentation relating to our clients’ finances and transactions, often prior to public dissemination. The use of insider or price sensitive information is highly regulated in Hong Kong and overseas, and any violation of the relevant securities laws and regulations may result in civil and criminal penalties. There is no assurance that we can completely eliminate the risk of any misstatement or leakage of confidential information and customer data. If we fail to keep clients’ proprietary information and documentation confidential, or if we handle the information improperly or make misstatements of such information, our reputation may be adversely affected or even lost. At the same time, we may expose our clients to a significant loss of revenue as a result of any premature release or misstatements of confidential information. As such, we may also become subject to civil claims by our clients or other third parties or investigations by relevant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implement our future business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is dependent on, among other things, our proper and timely execution of our future business plans. Our future business plans may be hindered by factors beyond our control, such as competition within the industry we operate, our ability to cope with high exposure to financial risk, operational risk, market risk and credit risk as our business and client base expands and our ability to provide, maintain and improve the level of human and other resources in servicing our clients. As such, we cannot assure that our future business plans will materialize, or that our objectives will be accomplished fully or partially, or our business strategies will generate the intended benefits to us as initially contemplated. If we fail to implement our business development strategies successfully, our business performance, financial condition and future prospects and growth could be materially and adversely affected.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pursue acquisitions and joint ventures as part of our growth strategy. Although no acquisitions nor joint ventures are anticipated at the date of this document, any future acquisition or joint venture may result in exposure to potential liabilities of the acquired companies and significant transaction costs, and also may present new risks associated with entering additional markets or offering new services and integrating the acquired companies or newly established joint ventures. 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operate, including communicating with clients and the relevant listing authorities. Moreover, besides COVID-19, our business and ability to operate could also be adversely affected by Ebola virus disease, Zika virus disease, H1N1 flu, H7N9 flu, avian flu, SARS or other epidemics. Our headquarters are located in Hong Kong, where our directors and management and a majority of our employees currently reside. In addition, our system hardware and back-up systems are hosted in leased facilities located in Hong Kong. Consequently, we are highly susceptible to factors such as these that may adversely affect Hong Kong. If any of the abovementioned natural disasters, health epidemics or other outbreaks were to occur in Hong Kong, our operation may experience material disruptions, such as temporary closure of our offices and suspension of services, which may materially and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The wars in Ukraine and in the Middle East could materially and adversely affect our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outbreak of wars in Ukraine and the Middle East has already affected global economic markets, including a dramatic increase in the price of oil and gas, and the uncertain resolution of this conflict could result in protracted and/or severe damage to the global economy. Russia’s military incursion and the conflict in the Middle East and the resulting sanctions could adversely affect global energy and financial markets and thus could affect the global markets, our customers’ businesses and potentially our business. As at the date of this annual report, to the best knowledge of the Company, we and our Hong Kong subsidiaries (i) do not have any direct business or contracts with any Russian, Ukraine, or Middle East entity as a supplier or customer, (ii) do not have any knowledge whether any our clients or suppliers have any direct business or contracts with any Russian entity, (iii) our business lines of service, projects, or operations were not materially impacted by disruptions caused the war in Ukraine and in the Middle East and (iv) have not been financially affected by the wars in Ukraine and the Middle East. The extent and duration of the military action, sanctions and resulting market disruptions are impossible to predict, but could be substantial. Any such disruptions caused by Russian military action or resulting sanctions or further escalation for the war in the Middle East may magnify the impact of other risks described in this section. We cannot predict the progress or outcome of the situation in Ukraine and in the Middle East, as the conflict and governmental reactions are rapidly developing and beyond their control. Prolonged unrest, intensified military activities or more extensive sanctions impacting the region could have a material adverse effect on the global economy, and such effect could in turn have a material adverse effect on our business, financial condition, results of operations, and prospects.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anticipate any new or heightened risk of potential cyberattacks by state actors or others since Russia’s invasion of Ukraine and the war in the Middle East, and we have not taken any actions to mitigate such potential risks. Our board of directors will continue to monitor any potential risks that might arise due to the war in Ukraine and in the Middle East which are specific to the Company, including but not limited to risks related to cybersecurity, sanctions, and supply chain, suppliers, or service providers in affected regions as well as risks connected with ongoing or halted operations or investments in affected regions.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 may be materially and adversely affected by a downturn in Hong Kong, mainland China or the global economy.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operations are currently located in Hong Kong. We currently do not have any operation outside Hong Kong. Nevertheless, our business, prospects, financial condition and results of operations may be influenced to a significant degree by the political, economic and social conditions in Hong Kong and mainland China generally and by the continued economic growth in Hong Kong and mainland China as a whole. While the mainland China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mainland China economy, but may have a negative effect on 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rapid growth of the mainland China economy has decelerated gradually over the years and may continue. There exists also uncertainty over the long-term effects of the expansionary monetary and fiscal policies adopted by the central banks and financial authorities of some of the world’s leading economies, including the United States and the PRC, before 2020. Unrest, terrorist threats and the potential for war in the Middle East and elsewhere may increase market volatility across the globe. Any prolonged slowdown in the global or the Chinese economy may affect potential customers’ confidence in the financial market as a whole and have a negative impact on our financial condition. Further, recent global economic conditions including inflationary pressures and high interest rate, have affected our profitability in Hong Kong and mainland China. Our Hong Kong Operating Subsidiary and Etoiles Financial constantly face (i) increase in labor cost due to rising wage; and (ii) increase in rental cost of office; (iii) increase in service fee charged by our vendors, resulting in increase in cost of revenue and selling expense and decrease in gross profit. Continued pressure from global economic conditions may affect the Hong Kong and mainland China markets in the future and in turn, may affect our operations.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continued turbulence in the international markets may adversely affect our ability to access the capital markets to meet liquidity needs. We cannot assure that there will not be any unfavorable changes in the Hong Kong and mainland China economies that could impact the industries in which we operate, which could in turn diminish the demand for our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lacks experience in managing a U.S. public company and complying with laws applicable to such company, the failure of which may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management team lacks experience in managing a U.S. publicly traded company, interacting with public company investors and complying with the increasingly complex laws pertaining to U.S. public companies. Prior to the completion of our initial public offering, we were a private company mainly operating our businesses in Hong Kong and mainland China. As a result of our initial public offering, our Company becomes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ability to pay dividends is primarily dependent upon the earnings of, and distributions by, our Hong Kong subsidiaries.</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Class A Ordinary Shares offered in this annual report are those of Etoiles Cayman. Etoiles Cayman is an exempted company incorporated under the laws of the Cayman Islands with limited liability. A substantial part of our business operations are conducted through our Hong Kong Operating Subsidiary, and hence, our revenues are contributed by our Hong Kong Operating Subsidiary. We intend to retain all available funds and future earnings, if any, for operation and business development, however, we may pay dividends on our Class A Ordinary Shares in the foreseeable future. See “Dividend Policy”.</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pay dividends to our shareholders is primarily dependent upon the earnings of our Hong Kong Operating Subsidiary and their distribution of funds to us, primarily in the form of dividends. The ability of our Hong Kong subsidiary to make distributions to us depends upon, among others, its distributable earnings. Under Hong Kong law, dividends may only be paid out of distributable profits (that is, accumulated realized profits less accumulated realized losses) or other distributable reserves. Dividends cannot be paid out of share capital. There are no restrictions or limitations under the laws of Hong Kong imposed on the conversion of HK dollars into foreign currencies and the remittance of currencies out of Hong Kong, nor is there any restriction on foreign exchange to transfer cash between the Company and its subsidiaries, across borders and to U.S. investors, nor are there any restrictions or limitations on distributing earnings from our business and subsidiaries to the Company and U.S. investors. Under the current practice of the Inland Revenue Department of Hong Kong, no tax is payable in Hong Kong in respect of dividends paid by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assurance that we will be able to declare or distribute any dividend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limit the availability of legal protections.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Hong Kong is a Special Administrative Region of the PRC and enjoys a high degree of autonomy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However, we cannot guarantee that the implementation of the “one country, two systems” principle and the level of autonomy as currently in place will continue in the future. Any changes in the state of political environment in Hong Kong may materially and adversely affect our business and operation.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process, enforcing foreign judgments or bringing actions in Hong Kong against us or our management named in this annual report based on foreign laws.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Etoiles Cayman is incorporated under the laws of the Cayman Islands, but all of our operations and assets are held by our Hong Kong Operating Subsidiary and Etoiles Financial in Hong Kong. In addition, a majority of our senior executive officers and directors, including Mr. Kit Shing, CHEUNG, Mr. Hon Fai, TAM, Mr. Zhihan, LOU, Ms. Qi, DING and Mr. Yeung Tak, CHEN, reside within Hong Kong for a significant portion of the time. As a result, it may be difficult or impossible for investors to effect service of process on us inside Hong Kong. It may also be difficult for you to enforce in U.S. courts judgments obtained in U.S. courts based on the civil liability provisions of the U.S. federal securities laws against us and our officers and directors. Moreover, there is uncertainty as to whether the courts of the Hong Kong would recognize or enforce judgments of U.S. courts against us or such persons predicated upon the civil liability provisions of the securities laws of the United States or any state.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is currently no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(i) the judgment is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(ii) the judgment is in the nature of a monetary award; (iii) the judgment is final and conclusive on the merits and has not been stayed or 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and (iv) the judgement is from a court of competent jurisdiction. The defenses available to the defendant in a common law action for enforcement of a foreign judgment include breach of natural justice, fraud and contrary to public policy of Hong Kong. In order to enforce the foreign judgment at common law, fresh proceedings must be initiated in Hong Kong, which involves issuing a Writ of Summons and Statement of Claim attaching the foreign judgment as proof of the debt.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AHFCA Act was enacted on December 23, 2022. On December 29, 2022,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 The AHFCA Act states that if the SEC determines that an issuer has filed audit reports issued by a registered public accounting firm that has not been subject to inspection by the PCAOB for two consecutive years, the SEC shall prohibit the securities of the issuer from being traded on a national securities exchange or in the over-the-counter trading market in the United States (the applicable period under the HFCA Act prior to the enactment of the AHFCA Act had been two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HFCA Act. A company will be required to comply with these rules if the SEC identifies it as having a “non-inspection” year under a process to be subsequently established by the SEC. The SEC is assessing how to implement other requirements of the HFCA Act, including the listing and trading prohibition requirements described above. On December 2, 2021, the SEC adopted final amendments implementing the disclosure and submission requirements of the HFCA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22, 2021, the U.S. Senate passed a bill which, if passed by the U.S. House of Representatives and signed into law, would reduce the number of consecutive non-inspection years required for triggering the prohibitions under the HFCA Act from three years to two years.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5, 2021, the PCAOB approved a new rule, PCAOB Rule 6100, Board Determinations Under the HFCA Act to provide a framework for its determinations under the HFCA Act that the PCAOB is unable to inspect or investigate completely registered public accounting firms located in a foreign jurisdiction because of a position taken by one or more authorities in that jurisdiction. The rule establishes the manner of the PCAOB’s determinations; the factors the PCAOB will evaluate and the documents and information the PCAOB will consider when assessing whether a determination is warranted; the form, public availability, effective date, and duration of such determinations; and the process by which the Board will reaffirm, modify, or vacate any such determinations.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SEC adopted amendments to finalize rules implementing the submission and disclosure requirements in the HFCA Act. Also, on December 16, 2021, pursuant to the HFCA Act, the PCAOB issued a Determination Report which determined that the PCAOB is unable to inspect or investigate completely registered public accounting firms headquartered in mainland China and in Hong Kong, a Special Administrative Region of PRC, because of positions taken by PRC authorities in those jurisdictions. In addition, the PCAOB’s report identified the specific registered public accounting firms which are subject to these determinations.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continues to demand complete access in mainland China and Hong Kong moving forward and resumed regular inspections since March 2023. The PCAOB is continuingly pursuing ongoing investigations and may initiate new investigations as needed. The PCAOB has indicated that it will act immediately to consider the need to issue new determinations with the HFCA Act if needed.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23, 2022, the AHFCA Act was enacted, which amended the HFCA Act by requiring the SEC to prohibit an issuer’s securities from trading on a national securities exchange or in the over-the-counter market in the United States if its auditor is not subject to PCAOB inspections for two consecutive years instead of three. As a result, the time period before the Company’s securities may be prohibited from trading or delisted has been decreased accordingly.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2022,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auditor, SRCO, C.P.A., Professional Corporation, is an independent registered public accounting firm that issues the audit report included elsewhere in this annual report, which is headquartered in New York and has been inspected by the PCAOB on a regular basis, with the last inspection in 2023 as an auditor of companies that are traded publicly in the United States and a firm registered with the PCAOB, it is subject to laws in the United States pursuant to which the PCAOB conducts regular inspections to assess its compliance with the applicable professional standards. Our auditor is currently subject to PCAOB inspections and PCAOB is able to inspect our auditor in relation to our U.S. listing. However, there is no assurance that future audit reports will be prepared by auditors able to be inspected by the PCAOB and therefore, in the future, you may be deprived of the benefits of such inspection. As such, trading in our securities may be prohibited under the HFCA Act if the PCAOB determines that it cannot inspect or investigate completely our auditor, and as a result our securities may be delisted. However, should PRC authorities obstruct or otherwise fail to facilitate the PCAOB’s access in the future which would prevent the PCAOB from continuing to inspect or investigate completely accounting firms headquartered in mainland China or Hong Kong, the PCAOB Board will consider the need to issue a new determination. Our securities may be delisted or prohibited from trading if the PCAOB determines that it cannot inspect or investigate completely our auditor under the HFCA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The PRC legal system is based on written statutes and their legal interpretations by the Standing Committee of the National People’s Congress, or NPCSC. Previous court decisions may be cited for reference but have limited precedential value. Since 1979, the PRC government has been developing a comprehensive system of commercial laws, and considerable progress has been made in introducing laws and regulations dealing with economic matters such as foreign investment, corporate organization and governance, commerce, taxation and trade. However, as these laws and regulations are relatively new, and due to the limited volume of published cases and their non-binding nature, interpretation and enforcement of these laws and regulations involve uncertainties. These laws and regulations are sometimes vague and may be subject to future changes, and their official interpretation and enforcement could be unpredictable, with little advance notice which could result in a material change in our operations and/or the value of our Class A Ordinary Shares. It is also uncertain whether having a majority of our directors and officers located in Hong Kong will subject us to the oversight of the Chinese authorities in the future.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influence our operations at any time, which could result in a material change in our operations and/or the value of the securities we are registering for sale.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Etoiles Cayman is a holding company and we conduct our operations through our Hong Kong Operating Subsidiary in Hong Kong. Etoiles Financial, our other Hong Kong subsidiary, has no operation on its own. The PRC government may choose to exercise significant oversight and discretion, and the regulations to which we are subject may change rapidly and with little notice to us or our shareholders. As a result, the application, interpretation, and enforcement of new and existing laws and regulations in mainland China are often uncertain. In addition, these laws and regulations may be interpreted and applied inconsistently by different agencies or authorities, and inconsistently with our current policies and practices. New laws, regulations, and other government directives in mainland China may also be costly to comply with, and such compliance or any associated inquiries or investigations or any other government actions may:</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and if the PRC government chooses to exercise such significant oversight and discretion over the conduct of our business and may intervene or influence or control our operations at any time. Such government actions could result in a material change in our operations and/or the value of the securities we are registering for sale; could significantly limit or completely hinder our ability to continue our operations; could significantly limit or completely hinder our ability to offer or continue to offer our securities to investors; and may cause the value of our securities to significantly decline or be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Previous statements by the PRC government have indicated an intent to exert more exert oversight and control over offerings that are conducted overseas and/or foreign investments in China based issuers. On December 28, 2021, the CAC, the NDRC and several other administrations jointly adopted and published the New Measures for Cybersecurity Review (2021 version) (“New Measures”), which came into effect on February 15, 2022. According to the New Measures, if an “operator of critical information infrastructure” or “network platform operator” that is in possession of personal data of more than one million users intends to list in a foreign country, it must apply for a cybersecurity review. Our business belongs to the electronic components/sensors industry, which does not involve the collection of user data, implicate cybersecurity, or involve any other type of restricted industry. As a result, the likelihood of us being subject to the review of the CAC is remote.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According to the Trial Measures, together with the Guidance Rules and Notice, a domestic company in the PRC that seeks to offer and list securities on overseas markets shall fulfill the filing procedures with the CSRC as per requirement of the Trial Measures within 3 working days after the relevant application is submitted overseas. The Trial Measures also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In light of the foregoing, we believe that the listing of our Class A Ordinary Shares on Nasdaq does not constitute an “indirect overseas offering and listing by PRC domestic companies” and that we are not required to complete the filing procedures as stipulated by the Trial Measures because the Company did not obtain any operating revenue, total profit, total assets and net assets in mainland China,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our management’s internal assessment, the Company and its subsidiaries currently have no operations in the mainland China, our management understands that as of the date of this annual report, the Company is not required to obtain any permissions or approvals from PRC authorities before listing in the U.S. and to issue our Ordinary Shares to foreign investors, including the CAC or the CSRC because (i) the CSRC currently has not issued any definitive rule or interpretation concerning whether offerings like ours under this annual report are subject to this regulation; and (ii) we operate in Hong Kong and is not included in the categories of industries and companies whose foreign securities offerings are subject to review by the CSRC or the CAC. We also understand that Etoiles Financial and Etoiles Consultancy are not required to obtain any permissions or approvals from any Chinese authorities to operate their businesses as of the date of this annual report. No permissions or approvals have been applied for by the Company or denied by any relevant authorities. However, uncertainties still exist, due to the possibility that laws, regulations, or policies in the PRC could change rapidly in the future. The promulgation of new laws or regulations, or the new interpretation of existing laws and regulations may restrict or otherwise unfavorably impact our ability or way to conduct business and may require us to change certain aspects of our business to ensure compliance, which could decrease demand for our services, reduce revenues, increase costs, require us to obtain more licenses, permits, approvals or certificates, or subject us to additional liabilities.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(i) the PRC government expands the categories of industries and companies whose foreign securities offerings are subject to review by the CSRC or the CAC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our Class A Ordinary Shares to investors and cause the value of such Class A Ordinary Shares to significantly decline or become worthless.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recent events indicating greater oversight by the Cyberspace Administration of China over data security, particularly for companies seeking to list on a foreign exchange, we may be subject to a variety of PRC laws and other obligations regarding data protection and any other rules, and any failure to comply with applicable laws and obligations could have a material and adverse effect on our business and the Offering.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located in Hong Kong. Our Hong Kong Operating Subsidiary and Etoiles Financial may collect and store certain data (including certain personal information) from our clients for “Know Your Customers” purposes, who may be PRC individuals. As such, we may be subject to PRC laws relating to the collection, use, sharing, retention, security, and transfer of confidential and private information, such as personal information and other data. These laws apply not only to third party transactions, but also other parties with which we have commercial relations. These laws continue to develop, and the PRC government may adopt other rules and restrictions in the future. Non-compliance could result in penalties or other significant legal liabilities.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PRC regulatory requirements regarding cybersecurity are evolving. For instance, various regulatory bodies in the PRC, including the CAC, the Ministry of Public Security, and the SAMR, have enforced data privacy and protection laws and regulations with varying and evolving standards and interpretations. The Cybersecurity Law, which was adopted by the National People’s Congress on November 7, 2016, and the New Measures, which came into effect on February 15, 2022, provide that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will be subject to cybersecurity review by the CAC. On June 10, 2021, the NPCSC promulgated the Data Security Law, which took effect on September 1, 2021. The Data Security Law requires that data shall not be collected by theft or other illegal means, and also provides for a data classification and hierarchical protection system. The data classification and hierarchical protection system puts data into different groups according to its importance in economic and social development, and the damages it may cause to national security, public interests, or the legitimate rights and interests of individuals and organizations in case the data is falsified, damaged, disclosed, illegally obtained or illegally used. If any of our data processing activities conducted after the Data Security Law became effective were found to be not in compliance with this law, we could be ordered to make corrections, and under certain serious circumstances, such as severe data divulgence, we could be subject to penalties, including the revocation of our business licenses or other permits. Furthermore, the recently issued Opinions on Strictly Cracking Down Illegal Securities Activities in Accordance with the Law require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As there remain uncertainties regarding the further interpretation and implementation of those laws and regulations, we cannot assure you that we will be compliant such new regulations in all respects, and we may be ordered to rectify and terminate any actions that are deemed illegal by the regulatory authorities and become subject to fines and other sanctions.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Management understands that as of the date of this annual report, we are not required to obtain any permissions or approvals by including the CSRC, CAC or any other PRC authorities for our operations or issue our Class A Ordinary Shares including the Class A Ordinary Shares being registered for sale to foreign investors under existing PRC laws and regulations, and have not received any requirement or were denied such permissions or approvals by any PRC authorities. According to the New Measures, if an “operator of critical information infrastructure” or “network platform operator” that is in possession of personal data of more than one million users intends to list in a foreign country, it must apply for a cybersecurity review. The New Measures further elaborates the factors to be considered when assessing the national security risks of the relevant activities, including, among others, (i) the risk of core data, important data or a large amount of personal information being stolen, leaked, destroyed, and illegally used or exited the country; and (ii) the risk of critical information infrastructure, core data, important data or a large amount of personal information being affected, controlled, or maliciously used by foreign governments after listing abroad. As of the date of this annual report, neither the Company nor its Hong Kong Operating Subsidiary and Etoiles Financial possess a large amount of personal information in their business operations or is recognized as an “operator of critical information infrastructure” by any authentic authority. Therefore, we do not believe that our Hong Kong Operating Subsidiary and Etoiles Financial are deemed to be an “operator of critical information infrastructure,” or “network platform operator” controlling personal information of no less than one million users. We are required to collect and retain some basic information furnished by our clients, suppliers and employees in accordance with prevailing business practices, but we do not handle a large amount of personal and confidential data in the ordinary course of business. As of the date of this annual report, we have not been involved in any investigations on cybersecurity or data security initiated by related governmental regulatory authorities, and we have not received any inquiry, notice, warning, or sanction in such respect. Our management believes that our Hong Kong Operating Subsidiary and Etoiles Financial are not required to receive any necessary permissions from PRC authorities to operate its current business in Hong Kong or issue shares to foreign investors.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However, given the recent events indicating greater oversight by the CAC over data security, particularly for companies seeking to list on a foreign exchange, it remains uncertain as to how the New Measures will be interpreted or implemented. There remains significant uncertainty as to the enactment, interpretation and implementation of regulatory requirements related to current and future PRC laws, overseas securities offerings and other capital markets activities. PRC regulatory agencies, including the CAC, may adopt new laws, regulations, rules, or detailed implementation and interpretation related to the New Measures. They may also take actions requiring us, or making it advisable for us, to halt future offering before the settlement and delivery of the Class A Ordinary Shares that we may be offering. If any such new laws, regulations, rules, or implementation and interpretation come into effect, we expect to take all reasonable measures and actions to comply therewith. In the event of a failure to comply, we may be required to suspend our relevant businesses and become subject to fines and other penalties. If the CAC or other PRC regulatory agencies later promulgate new rules or explanations requiring that we obtain their approvals for any follow-on offering, we may be unable to obtain such approvals, which could significantly limit or completely hinder our ability to offer or continue to offer securities to our investors.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obtain approval from PRC authorities to list on overseas stock exchanges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require CSRC approval for a listing involving offshore special purchase vehicles that are controlled by PRC entities or individuals and that have been formed for overseas listing purposes through acquisitions of PRC domestic interests held by such PRC entities or individuals with shares of the offshore special purchase vehicles. Based on our understanding of the current PRC laws and regulations, we will not be required to submit an application to the CSRC for the approval of the Offering and trading of our Class A Ordinary Shares under the M&amp;A Rules because (i) our Hong Kong Operating Subsidiary and Etoiles Financial were not established through a merger or requisition of the equity or assets of a “PRC domestic company” as such term is defined under the M&amp;A Rules, (ii) our Hong Kong Operating Subsidiary and Etoiles Financial are non-mainland China entities, and they have not been controlled by a non-PRC persons since its incorporation, and (iii) the CSRC currently has not issued any definitive rule or interpretation concerning whether an offering like ours under this document is subject to this regulation. However, uncertainties still exist as to how the M&amp;A Rules will be interpreted or implemented, and is subject to any new laws, rules, and regulations or detailed implementations and interpretations in any form relating to the M&amp;A Rules. We may be required to obtain approval from PRC authorities in order to continue our listing on Nasdaq or to add new listings on other overseas stock exchanges in the future but cannot provide assurance that we will be able to obtain such approval.</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a follow-up, 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According to the Trial Measures, together with the Guidance Rules and Notice, a domestic company in the PRC that seeks to offer and list securities on overseas markets shall fulfill the filing procedures with the CSRC as per requirement of the Trial Measures within 3 working days after the relevant application is submitted overseas. The Trial Measures also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The management understand that the listing of our Class A Ordinary Shares on Nasdaq does not constitute an “indirect overseas offering and listing by PRC domestic companies” and that we are not required to complete the filing procedures as stipulated by the Trial Measures the Company did not obtain any operating revenue, total profit, total assets and net assets in mainland China,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 If CSRC approval is required, it is uncertain whether we can or how long it will take us to obtain the approval and, even if we obtain such CSRC approval, such CSRC approval could be rescinded. We cannot assure you that relevant PRC government authorities, including the CSRC, would reach the same conclusion as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trade disputes, barriers to trade, or the emergence of a trade war may dampen growth in China.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events, international trade disputes, and other business interruptions could harm or disrupt international commerce and the global economy, and could have a material adverse effect on us and our customers, material vendors, and other partners. International trade disputes could result in tariffs and other protectionist measures which may materially and adversely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also been concerns about the relationship between the PRC and other countries, including the surrounding Asian countries, which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political policies and the expected or perceived overall economic growth rate in China.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uncertainty surrounding international trade disputes and the potential of the escalation to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mainland China political, economic and governmental policies may have an adverse impact on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revenue received from mainland China will continue to supplement our overall operations. Accordingly, our business, financial condition and results of operations are subject to political, economic and legal developments in China to a significant degree. The Chinese economy differs from the economies of most developed countries in many aspects, including the extent of government involvement, growth rate, control of the foreign exchange, allocation of resources and capital investment. We cannot assure there will not be any unfavorable changes in the political, economic and governmental policies and measures promulgated by the PRC government that could impact the industries in which we operate, which could in turn diminish the demand for our services.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partially abolished on December 29, 2017,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w:t>
      </w:r>
    </w:p>
    <w:p>
      <w:pPr>
        <w:spacing w:after="0" w:line="5" w:lineRule="exact"/>
        <w:rPr>
          <w:sz w:val="20"/>
          <w:szCs w:val="20"/>
          <w:color w:val="auto"/>
        </w:rPr>
      </w:pPr>
    </w:p>
    <w:p>
      <w:pPr>
        <w:jc w:val="both"/>
        <w:ind w:firstLine="8"/>
        <w:spacing w:after="0" w:line="253" w:lineRule="auto"/>
        <w:tabs>
          <w:tab w:leader="none" w:pos="2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as a Cayman Islands exempted company, Etoiles Cayman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including the holders of our Class A Ordinary Shares. In addition, non-resident enterprise shareholders may be subject to PRC tax on gains realized on the sale or other disposition of the Class A Ordinary Shares, if such income is treated as sourced from within the PRC. Furthermore, if we are deemed a PRC resident enterprise, dividends paid to our non-PRC individual shareholders and any gain realized on the transfer of the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Class A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Class A Ordinary Shares in our offshore subsidiaries and investments. Our company may be subject to filing obligations or may be taxed if our company is a transferor in such transactions, and may be subject to withholding obligations if our company is a transferee in such transactions, under SAT Bulletin 7 and/or SAT Bulletin 37. For transfers of Class A Ordinary Shares of our company by investors who are non-PRC resident enterprises, our Hong Kong Operating Subsidiary and Etoiles Financial will not be requested to assist in the filing under SAT Bulletin 7 and/or SAT Bulletin 37. However, if our assessment on the filing under SAT Bulletin 7 and/or SAT Bulletin 37 is incorrect,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applicable listing requirements, Nasdaq may delist our Class A Ordinary Shares from trading, in which case the liquidity and market price of our Class A Ordinary Shares could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Assuming our Class A Ordinary Shares are listed on Nasdaq, we cannot assure you that we will be able to meet the continued listing standards of Nasdaq in the future. If we fail to comply with the applicable listing standards and Nasdaq delists our Class A Ordinary Shares, we and our shareholders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Class A Ordinary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“penny stock”, which would require brokers trading in our Class A Ordinary Shares to adhere to more stringent rules and possibly result in a reduced level of trading activity in the secondary trading market for our Class A Ordinary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Shareholder has significant voting power and may take actions that may not be in the best interests of our other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our Controlling Shareholder holds an aggregate of 10,287,000 Class A Ordinary Shares and 5,000,000 Class B Ordinary Shares, respectively, which will represent an aggregate of 92.59% of the total voting power. As a result, the shareholder will be able to control the management and affairs of our Company and most matters requiring shareholder approval, including the election of directors and approval of significant corporate transactions. The interests of these shareholders may not be the same as or may even conflict with your interests. For example, the shareholder could attempt to delay or prevent a change in control of us, even if such change in control would benefit our other shareholders, which could deprive our shareholders of an opportunity to receive a premium for their Class A Ordinary Shares as part of a sale of us or our assets, and might affect the prevailing market price of our Class A Ordinary Shares due to investors’ perceptions that conflicts of interest may exist or arise. As a result, this concentration of ownership may not be in the best interests of our other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apply additional and more stringent criteria for our initial and continued listing because we plan to have a small public offering and our insiders will hold a large portion of our listed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Listing Rule 5101, Nasdaq has discretionary authority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Nasdaq was concerned that the offering size was insufficient to establish the company’s initial valuation, and there would not be sufficient liquidity to support a public market for the company; and (iii) where the company did not demonstrate sufficient nexus to the U.S. capital market, including having no U.S. shareholders, operations, or members of the board of directors or management. Our initial public offering will be relatively small and the insiders of our company will hold a large portion of the company’s listed securities following the consummation of the Offering. Therefore, we may be subject to the additional and more stringent criteria of Nasdaq for our initial and continued listing.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immediate plans to pay 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reinvest all of our future earnings, to the extent we have earnings, in order to expand our product offering and to cover operating costs, finance operations and to otherwise become and remain competitive. We do not plan to pay any cash dividends with respect to our securities in the foreseeable future. As we are a company with a limited operating history, we may not be able to generate, at any time, sufficient surplus cash that would be available for distribution to the holders of our Class A Ordinary Shares as a dividend. Therefore, you should not expect to receive immediate cash dividends on the Class A Ordinary Shares we are offering. Consequently, investors may need to rely on sales of their Class A Ordinary Shares after price appreciation, which may never occur, as the only way to realize any future gains on their investment. In addition, the laws of the Cayman Islands require that certain criteria must be satisfied before we are able to declare and pay dividends.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Share price or trading volume to decline.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trading market for our Class A Ordinary Shares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Ordinary Shares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Share price, our Share price could decline. If one or more of these analysts cease coverage of us or fail to publish reports covering us regularly, we could lose visibility in the market, which in turn could cause our Share price or trading volume to decline and result in the loss of all or a part of your investment in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judgments against us, our directors and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Etoiles Cayman is incorporated under the laws of the Cayman Islands and a majority of our directors and officers reside outside the United States. Moreover, many of these persons do not have significant assets in the United States. As a result, it may be difficult or impossible to effect service of process within the United States upon these persons, or to recover against us or them on judgments of U.S. courts, including judgments predicated upon the civil liability provisions of the U.S. federal securities laws.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 recognize or enforce judgments of U.S. courts obtained in actions against us or our directors and officers predicated upon the civil liability provisions of the U.S. federal securities laws or any securities laws of any state in the United States, or entertain original actions brought in the Cayman Islands against us or our directors and officers predicated solely upon U.S. federal securities laws or any securities laws of any state of the United States. Further, there is no treaty in effect between the United States and the Cayman Islands providing for the enforcement of judgments of U.S. courts in civil and commercial matters, and there is no statutory enforcement in the Cayman Islands of judgments obtained in the United States. Some remedies available under the laws of U.S. jurisdictions, including remedies available under the U.S. federal securities laws, may not be allowed in the Cayman Islands courts if contrary to public policy in the Cayman Islands. As a result of all of the above, it may be difficult for you to recover against us or our directors and officers based upon such judgments.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the Cayman Islands relating to the protection of the interest of minority shareholders are different from those in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the Amended Memorandum and Articles (as may be amended from time to time), and by the Cayman Islands Companies Act (Revised) and common law of Cayman Islands. The rights of shareholders to take action against our directors, action by minority shareholders and the fiduciary responsibilities of our directors to us under Cayman Islands law are to a large extent governed by the common law of the Cayman Islands and the Amended Articles (as may be amended from time to time). The common law of the Cayman Islands is derived in part from comparatively limited judicial precedent in the Cayman Islands as well as from English common law, the decisions of whose courts are of persuasive authority, but are not binding, on a court in the Cayman Islands.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the Cayman Islands relating to the protection of the interests of minority shareholders differ in certain respects from those established under statutes or judicial precedent in existence in the United States and other jurisdictions. Such differences may mean that the remedies available to our minority shareholders may be different from those they would have under the laws of other jurisdictions, including the United States. Potential investors should be aware that there is a risk that provisions of the Companies Act may not offer the same protection as the relevant laws and regulations in the United States may offer, and should consider obtaining independent legal advice on the implications of investing in foreign-incorporated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w:t>
      </w:r>
    </w:p>
    <w:p>
      <w:pPr>
        <w:spacing w:after="0" w:line="20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In addition, our officers, directors and principal shareholders are exempt from the reporting and short-swing profit recovery provisions of Section 16 of the Exchange Act and the rules under the Exchange Act with respect to their purchases and sales of our securities.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permitted to take advantage of certain provisions in the Nasdaq rules that allow us to follow our home country law for certain governance matters. Certain corporate governance practices in our home country, the Cayman Islands, may differ significantly from corporate governance listing standards. Currently, we do not plan to rely on some home country practices with respect to our corporate governance. However, if we choose to follow home country practices in the future, our shareholders may be afforded less protection than they would otherwise enjoy under the Nasdaq corporate governance listing standards applicable to U.S. domestic issuers.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outstanding voting securities become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Jumpstart Our Business Startups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we did not incur as a private company. The Sarbanes-Oxley Act of 2002, as well as rules subsequently implemented by the SEC, Nasdaq, impose various requirements on the corporate governance practices of public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U.S. federal income tax purposes for any taxable year, which could result in adverse U.S. federal income tax consequences for U.S. Holders of our Class A Ordinary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annual report captioned “Material United States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determined to be a PFIC, see “Item 10. Additional Information — 10.E. Taxation — United States Federal Income Tax Considerations — Passive Foreign Investment Company Considerations.”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our Class A Ordinary Shares ineligible for inclusion in certain stock market indices, and thus adversely affect the trading price and liquidity of our Class A Ordinary Shares.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dual class ordinary share structure. Our Ordinary Shares will be divided into Class A Ordinary Shares and Class B Ordinary Shares. Holders of our Class A Ordinary Shares are entitled to one (1) vote per share and holders of our Class B Ordinary Shares are entitled to ten (10) votes per share. In no event shall Class A Ordinary Shares be convertible into Class B Ordinary Shares. Each Class B Ordinary Share is convertible into one fully paid Class A Ordinary Share at the option of the holder, at any time after issue and without the payment of any additional sum.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Etoiles Zeneo Investment Limited continues to beneficially own all of our issued and outstanding Class B Ordinary Shares. As of the date of this annual report, these Class B Ordinary Shares represent approximately 24.86% of our total issued and outstanding share capital and approximately 76.79% of the aggregate voting power of our total issued and outstanding share capital due to the disparate voting rights associated with our dual-class share structure. In addition, as of the date of this annual report, Etoiles Zeneo Investment Limited beneficially owns 10,287,000 Class A Ordinary Shares and 5,000,000 Class B Ordinary Shares, representing approximately 76.02% of our total issued and outstanding share capital and approximately 92.59% of the aggregate voting power of our total issued and outstanding share capital. As a result of our dual-class share structure and the concentration of ownership, Etoiles Zeneo Investment Limited has considerable influence over matters such as mergers and consolidations, the election of directors and other significant corporate actions. This concentration of ownership may discourage, delay or prevent a change in control of our company, which could deprive our other shareholders of the opportunity to receive a premium for their shares as part of a sale of our company and may adversely affect the trading price of our Class A Ordinary Shares.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advisors regarding the impact of our being a PFIC in any taxable year on your investment in our Class A Ordinary Shares as well as the application of the PFIC rules.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 I</w:t>
      </w:r>
      <w:r>
        <w:rPr>
          <w:rFonts w:ascii="Times New Roman" w:cs="Times New Roman" w:eastAsia="Times New Roman" w:hAnsi="Times New Roman"/>
          <w:sz w:val="12"/>
          <w:szCs w:val="12"/>
          <w:b w:val="1"/>
          <w:bCs w:val="1"/>
          <w:color w:val="auto"/>
        </w:rPr>
        <w:t>nformation on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Etoiles Capital Group Co., Ltd is a holding company incorporated in the Cayman Islands. As a holding company with no material operations of its own, the Company conducts its business primarily through its operating subsidiary.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operating subsidiary is Etoiles Consultancy Limited (“Etoiles Consultancy”), a company incorporated under the laws of Hong Kong on October 9, 2013. Etoiles Consultancy specializes in providing integrated investor relations services. We also wholly own, directly or indirectly, (i) Etoiles Financial Group Limited (“Etoiles Financial Group”), incorporated in Hong Kong on November 16, 2023, which has no material operations and is primarily used to manage certain administrative and operating expenses of the Group; (ii) Etoiles Vision Technology (Shenzhen) Company Limited (“Etoiles Vision”), incorporated in the People’s Republic of China on December 19, 2025, which has no material operations and is primarily used to manage certain administrative matters in the PRC; and (iii) Etoiles Original Limited (“Etoiles Original”), incorporated in the British Virgin Islands on October 8, 2025, which has no material operations.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Etoiles Consultancy, Etoiles Financial Group and Etoiles Original are indirectly wholly owned by the Company through Zynergy Holding Co., Limited, a company incorporated in the British Virgin Islands on December 27, 2023, which is a wholly owned subsidiary of the Company. Etoiles Vision is wholly owned by Etoiles Consultancy.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in the future, funds may not be available to fund operations or for other use outside of Hong Kong, due to interventions in, or the imposition of restrictions and limitations on, our ability or our subsidiary’s ability by the PRC government to transfer cash or assets out of Hong Kong. Any limitation on the ability of our subsidiary to make payments to us could have a material adverse effect on our ability to conduct our business and might materially decrease the value of our Ordinary Shares or cause them to be worthless. See “</w:t>
      </w:r>
      <w:r>
        <w:rPr>
          <w:rFonts w:ascii="Times New Roman" w:cs="Times New Roman" w:eastAsia="Times New Roman" w:hAnsi="Times New Roman"/>
          <w:sz w:val="18"/>
          <w:szCs w:val="18"/>
          <w:i w:val="1"/>
          <w:iCs w:val="1"/>
          <w:color w:val="auto"/>
        </w:rPr>
        <w:t>Risk Factors — We rely on dividends and other distributions on equity 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subsidiary to fund any cash and financing requirements we may have. In the future, funds may not be available to fund operations or for other use outside of Hong Kong, due to interventions in, or the imposition of restrictions and limitations on, our ability or our subsidiary by the PRC government to transfer cash. Any limitation on the ability of our subsidiary to make payments to us could have a material adverse effect on our ability to conduct our business and might materially decrease the value of our Ordinary Shares or cause them to be worthless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Etoiles Capital Group Co., Ltd was incorporated as an exempted company with limited liability on September 13, 2024 under the laws of Cayman Islands. It is a holding company and is not actively engaging in any business. As of the date of this annual report, and under its Amended Memorandum and Articles of Association, the authorized share capital is US$50,000 divided into 500,000,000 Ordinary Shares of par value US$0.0001 each, comprising of</w:t>
      </w:r>
    </w:p>
    <w:p>
      <w:pPr>
        <w:spacing w:after="0" w:line="1" w:lineRule="exact"/>
        <w:rPr>
          <w:sz w:val="20"/>
          <w:szCs w:val="20"/>
          <w:color w:val="auto"/>
        </w:rPr>
      </w:pPr>
    </w:p>
    <w:p>
      <w:pPr>
        <w:jc w:val="both"/>
        <w:ind w:firstLine="8"/>
        <w:spacing w:after="0" w:line="253"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Class A Ordinary Shares of nominal or par value of US$0.0001 each, and (ii) 50,000,000 Class B Ordinary Shares of nominal or par value US$0.0001 each. All of our outstanding Ordinary Shares are fully paid and non-assessable. Certificates representing the Ordinary Shares are issued in registered form.] The registered office of the Company is located at Ogier Global (Cayman) Limited, 89 Nexus Way, Camana Bay, Grand Cayman, KY1-9009, Cayman Islands.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we refer to all these following events as the “Reorganization”.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4, 2024, the Company passed board resolutions and shareholder resolutions to re-designate our authorized share capital from US$50,000 divided into 500,000,000 ordinary shares of par value US$0.0001 each to US$50,000 divided into (i) 450,000,000 Class A Ordinary Shares of par value of US$0.0001 each and (ii) 50,000,000 Class B Ordinary Shares of par value of US$0.0001 by re-designating (a) 449,990,000 authorized but unissued ordinary shares of par value of US$0.0001 each into 449,990,000 Class A Ordinary Shares of par value of US$0.0001 each; and (b) 50,000,000 authorized but unissued ordinary shares of par value of US$0.0001 each into 50,000,000 Class B Ordinary Shares of par value of US$0.0001 each, and re-designating a total of 10,000 issued ordinary shares of par value of US$0.0001 owned by Etoiles Zeneo Investment Limited into 10,000 Class A ordinary shares of par value of US$0.0001 each. Subsequent to the re-designation, the Company was owned as to 10,000 Class A Ordinary Shares by Etoiles Zeneo Investment Limited. Simultaneously, the Company issued 13,490,000 Class A Ordinary Shares of par value of US$0.0001 each and 10,000,000 Class B Ordinary Shares of par value of US$0.0001 each to Etoiles Zeneo Investment Limited. On the same day, the Company also adopted an amended and restated memorandum and articles of association.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4, 2024, Etoiles Zeneo Investment Limited entered into five sale and purchase agreements (the “Sale and Purchase Agreements”) with Doublefortuna Company Limited, Easy Cargo Management Inc, Enbo Holdings Group Limited, La Dicha Group Limited and Quantum Pinnacle Company Limited, respectively. Pursuant to the Sales and Purchase Agreements, Etoiles Zeneo Investment Limited sold, and Doublefortuna Company Limited, Easy Cargo Management Inc, Enbo Holdings Group Limited, La Dicha Group Limited and Quantum Pinnacle Company Limited acquired, 4.90%, 4.60%, 4.70%, 4.70% and 4.90% of the issued Class A equity interests in the Company, at the consideration of US$125,642, US$117,949, US$120,513, US$120,513 and US$125,642, respectively. On the same date, Etoiles Zeneo Investment Limited executed the instrument of transfers whereby Etoiles Zeneo Investment Limited have transferred 661,500, 621,000, 634,500, 634,500 and 661,500 Class A Ordinary Shares, out of its 13,500,000 Class A Ordinary Shares, to Doublefortuna Company Limited, Easy Cargo Management Inc, Enbo Holdings Group Limited, La Dicha Group Limited and Quantum Pinnacle Company Limited, respectively. Subsequent to the transfers, the Company is owned as to (i) 10,287,000 Class A Ordinary Shares and 10,000,000 Class B Ordinary Shares by Etoiles Zeneo Investment Limited; and (ii) 661,500, 621,000, 634,500, 634,500 and 661,500 Class A Ordinary Shares by Doublefortuna Company Limited, Easy Cargo Management Inc, Enbo Holdings Group Limited, La Dicha Group Limited and Quantum Pinnacle Company Limited, respectively.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2025, Etoiles Zeneo Investment Limited proposed to voluntarily surrender 5,000,000 Class B Ordinary Shares to the Company for no consideration for the cancellation, and the Company approved the surrender and cancellation of such shares on May 8, 2025. Etoiles Zeneo Investment Limited considered that it is in the best interest of the Group to forgo any consideration for the voluntary surrender and cancellation of the 5,000,000 Class B Ordinary Shares. Subsequently, the Company is owned as to (i) 10,287,000 Class A Ordinary Shares and 5,000,000 Class B Ordinary Shares by Etoiles Zeneo Investment Limited; and (ii) 661,500, 621,000, 634,500, 634,500 and 661,500 Class A Ordinary Shares by Doublefortuna Company Limited, Easy Cargo Management Inc, Enbo Holdings Group Limited, La Dicha Group Limited and Quantum Pinnacle Company Limited,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2025, the management team decided on a strategic rebranding of the Company. The name of the Company was amended to Etoiles Capital Group Co., Ltd. On the same day, the Company also amended and adopted the second amended and restated memorandum of association and articles of association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Initial Public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11, 2025, the Company closed its initial public offering of 1,400,000 Class A ordinary shares s on the Nasdaq Capital Market. Under the terms of the underwriting agreement, the Company sold a total of 1,400,000 Ordinary Shares at an offering price of US$4.00 per Ordinary Share for gross proceeds of US$5.6 million. A final prospectus relating to the initial public offering was filed with the SEC on August 8, 2025. The Company’s Ordinary Shares began trading on August 8, 2025 on the Nasdaq Capital Market under the ticker symbol “EFTY.” Subsequently on August 13, 2025, the Company issued and sold to the underwriters 210,000 Class A Ordinary Shares at a price of US$4.00 per share, pursuant to the full exercise of the over-allotment option, resulting in additional gross proceeds of approximately US$840,000. As a result, the Company has raised aggregate gross proceeds of US$6.44 million in the initial public offering, including the exercise of the over-allotment option, prior to deducting underwriting discounts and commissions and offering expenses payable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annual report, 20,110,000 Ordinary Shares, consisting of 15,110,000 Class A Ordinary Shares and 5,000,000 Class B Ordinary Shares, were issued and outstanding. Our Controlling Shareholder, Etoiles Zeneo Investment Limited, currently both directly and indirectly owns 68.08% of our Class A Ordinary Shares and 100% of Class B Ordinary Shares, which represent 92.59% of the total voting power of our outstanding Shares. See “Risk Factors — Risks Related to Our Class A Ordinary Shares — Our Controlling Shareholder has significant voting power and may take actions that may not be in the best interests of our other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Suspension of Trading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 2025, the SEC made an order suspending trading in the securities of the Company for the period from 4:00 a.m. ET on October 6, 2025, through 11:59 p.m. p.m. ET on October 17, 2025 (the “Suspension Period”) because of potential manipulation in the securities of the Company effectuated through recommendations, made to investors by unknown persons via social media to purchase the securities of the Company, which appear to be designed to artificially inflate the price and volume of the securities of the Company. The trading in the securities of the Company remains suspended as of the date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illustrates our corporate structure and identifies our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154305</wp:posOffset>
            </wp:positionV>
            <wp:extent cx="4397375" cy="1928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73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Subsidiaries and Business Functions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Etoiles Consultancy was incorporated under the laws of Hong Kong on October 9, 2013. Etoiles Consultancy is a limited liability company primarily engaged in the provision of integrated investor relations services. It is an indirectly wholly owned subsidiary of the Company through Zynergy BVI.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Etoiles Financial was incorporated under the laws of Hong Kong on November 16, 2023. Etoiles Financial has no material operations of its own and is mainly used to handle administrative expenses. It is an indirectly wholly owned subsidiary of the Company through Zynergy BVI.</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Etoiles Original was incorporated under laws of the British Virgin Islands on October 8, 2025. Etoiles Original is inactive as of the date of this annual report. It is an indirectly wholly owned subsidiary of the Company through Zynergy BVI.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Etoiles Vision was incorporated under laws the People’s Republic of China on December 19, 2025. Etoiles Vision has no material operations and is primarily used to manage certain administrative matters in the PRC. It is a directly wholly owned subsidiary through Etoiles Consultancy and is an indirectly wholly owned subsidiary of the Company through Zynergy BVI.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principal executive offices are located at Unit 03-04, 25/F, Cosco Tower, 183 Queen’s Road Central, Sheung Wan, Hong Kong. Our registered office in the Cayman Islands is located at Ogier Global (Cayman) Limited, 89 Nexus Way, Camana Bay, Grand Cayman, KY1-9009, Cayman Islands. Our agent for service of process in the United States is Cogency Global Inc., 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become a leading integrated investor relation services provider in Hong Kong in terms of revenue. We strive to provide one-stop solution to companies in managing their institutional relations, engaging constructive discussion with their stakeholders and tailor creative solutions to navigate the ever-changing financial landscape.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integrated investor relation services mainly comprise one of more of the following components: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value-added services such as website design enhancement and promotional video production.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fiscal years ended December 31, 2025, 2024 and 2023, our total revenue was approximately US$3.2 million, US$2.5 million and US$0.1 million, respectively. The number of clients with revenue contribution to us was 1 for the fiscal year ended December 31, 2023, 22 for the fiscal year ended December 31, 2024 and 18 for the fiscal year ended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strengths have contributed to our success and differentiate us from our peers: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comprehensive integrated investor relation services to our clients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Since 2023, our Hong Kong Operating Subsidiary has focused on providing integrated investor relation services and building up our expertise and track record in the financial industry. Our integrated investor relation services mainly comprise one of more of the following: (i) management of public relation to assist our clients to promote their corporate image; (ii) management of investor relations to assist our clients to manage relation with their investors; and</w:t>
      </w:r>
    </w:p>
    <w:p>
      <w:pPr>
        <w:spacing w:after="0" w:line="1" w:lineRule="exact"/>
        <w:rPr>
          <w:sz w:val="20"/>
          <w:szCs w:val="20"/>
          <w:color w:val="auto"/>
        </w:rPr>
      </w:pPr>
    </w:p>
    <w:p>
      <w:pPr>
        <w:jc w:val="both"/>
        <w:ind w:firstLine="8"/>
        <w:spacing w:after="0" w:line="253" w:lineRule="auto"/>
        <w:tabs>
          <w:tab w:leader="none" w:pos="3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exercises. Our wide range of services ensures that we are capable at fulfilling our clients’ needs at various stages of their business development and enhance convenience and efficacy. We believe that we can create opportunities for cross selling through offering a wide spectrum of services. For example, clients who initially engage us for public relation services during their initial public offering process may engage us further for investor relations services after listing, which allows us to foster solid long-term relationship with our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possess a strong client base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Hong Kong Operating Subsidiary provides services to clients from various backgrounds. Our clients mainly consist of (i) clients that intend to seek a listing or are listed on a stock exchange; and (ii) companies and professional firms in the financial industry. We believe our expertise in addressing our clients’ investor relation service needs and our market reputation are essential to our success. The number of clients with revenue contribution to us was 1 for the fiscal year ended December 31, 2023, 22 for the fiscal year ended December 31, 2024 and 18 for the fiscal year ended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mid-2024, our Hong Kong Operating Subsidiary has started providing services to companies that intend to seek a listing or are listed on the stock exchanges in the U.S.. We believe that by expanding our service offerings to cover companies with various needs and backgrounds, we will be able to capture the growth in various capital markets and mitigate the impacts of market downturns.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experienced and professional management team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team comprises of professionals with extensive experience in finance and public relation industries. Mr. Kit Shing, CHEUNG, our Chief Executive Officer and Chair of the board of the Company, has over 7 years of experience in business management, while Mr. Hon Fai, TAM, our Chief Financial Officer, had held various senior positions in accounting, financing and auditing industry. Our core operation team are equipped with experience and deep understanding of the financial or public relation industry. Leveraging on our staff’s experience in the industry and the in-depth knowledge possessed by our management team, we believe we have a comprehensive understanding of our clients’ needs and are well-positioned to expand our market presence and reach out to new potential clients from various industries.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growth strategies include further strengthening our market position and increasing our market share in the Hong Kong integrated investor relation industry. We intend on achieving this growth by actively seeking new opportunities from our existing client base as well as new potential clients. To achieve these goals, we plan on implementing the following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strengthen our integrated investor relation services in Hong Kong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continue to devote the majority of our attention to provide quality integrated investor relation services in Hong Kong. We believe possessing a dedicated and experienced team with immense industry knowledge are essential to our growth and development. We intend to strengthen our team by recruiting additional staff to ensure we can allocate sufficient staff to attend to our clients’ needs. We intend to recruit staff with professional qualification in the financial industry and/or staff with experience and deep understanding of the financial or public relation industry. We believe that an enhanced team of staff will ensure quality services are provided to our clients in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constantly looking out to incorporate in latest technology and trends into our service offerings. We intend to utilize social media to assist our clients to reach out to their targeted audience. We also intend to utilize virtual reality technology and other tools to provide a more stimulating experience to our clients during major presentation such as investor presentations and roadshows.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market presence in other international capital markets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2023, our Hong Kong Operating Subsidiary has focused on providing integrated investor relation services and building up our expertise and track record in the financial industry, in particular in Hong Kong. Since mid-2024, our Hong Kong Operating Subsidiary has started providing services to companies that intend to seek a listing or are listed on the stock exchanges in the U.S.. Our management believes that the U.S. capital market will continue to attract interests from companies all around the globe in the upcoming decade. We plan to expand our market presence in the U.S. and the international markets by collaborating with stakeholders in the equity and debt capital markets and expanding our business network. We intend to attend industry events and liaising with our existing business partners and professional firms. We also intend to connect with U.S. based suppliers to provide location-specific services to our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Enhancing our brand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new clients mainly through referrals from our existing clients and business partners. We believe we can broaden our client base, attract more referrals from potential clients and improve our reputation by increasing our marketing effort to promote our “Etoiles” brand and market presence in the financial industry in Hong Kong.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(i) enhance our web pages for advertising our services; (ii) place advertisements in newspaper and online medias; (iii) sponsoring business events organized by professional firms and participating events organized by the stakeholders in the financial industry; and (iv) actively approaching potential clients in the Hong Kong and the U.S. financial industries to secure new business opportunities.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mainly engaged in integrated investor relation services in Hong Kong. For each of the fiscal years ended December 31, 2025, 2024 and 2023, our total revenue was approximately US$3.2 million, US$2.5 million and US$0.1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primarily through our indirectly wholly-owned Hong Kong Operating Subsidiary, Etoiles Consultancy. We operate in a single segment that represents the Company’s core business as an integrated investor relation service provider in Hong Kong. Our integrated investor relation services mainly comprise one of more of the following components:</w:t>
      </w:r>
    </w:p>
    <w:p>
      <w:pPr>
        <w:spacing w:after="0" w:line="176"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public relation: In assisting our clients to promote their corporate image, our Hong Kong Operating Subsidiary will typically perform the following works: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clients in preparing promotional plan for their proposed transactions or fund-raising activities with the targeted corporate positioning;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corporate presentation materials for marketing and promotion;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 sessions to management to train their communication skills in presentation during roadshows, press conferences and/or investor meetings;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the clients’ investor relation websites and incorporate into their own websites;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advertising plans and publicity materials to improve market awareness of our clients;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support for our clients’ roadshows and press conferences, and liaise with the media and the public;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any ceremonies and interviews subsequent to a major event such as listing on a stock exchange or conclusion of a major transaction;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constantly monitor any adverse media reporting and assist our clients in crisis management in case of any unexpected emergencies.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investor relation: In assisting our clients to manage relation with their investors, our Hong Kong Operating Subsidiary typically perform the following 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investor relation media documents and ensure sufficient corporate information is conveyed to the media and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shareholders meetings and press conferences for specific matters targeting investors and other stakeholders;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clients in reviewing their shareholding structure and identify and approach shareholders;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exercises: Our Hong Kong Operating Subsidiary assists our clients in conducting due diligence of on specific investment or acquisition targets worldwide. Our Hong Kong Operating Subsidiary will review the targets’ statutory records and review their legal status. Our Hong Kong Operating Subsidiary will conduct business site visit to observe and record the operations of a business. Our Hong Kong Operating Subsidiary will also conduct searches to review any involvement in civil or criminal litigation and irregularity. Our Hong Kong Operating Subsidiary will issue a due diligence report or documentation as requested by our clients for their transactions.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value-added services such as website design enhancement and promotional video production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Workflow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new clients mainly through referrals from our existing clients and business partners. We generally meet with our potential clients to better assess their needs and we will tailor our scope of services to cater their demands. In assessing the fee for our services, we take into account the costs to be incurred based on our past experience, duration, manpower required and complexity of the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engaged by our clients, we will review their corporate profile to gain a deeper understanding to their business and goals and formulate a preliminary strategy with their targeted corporate positioning. We will liaise with our clients in formulating the strategy and incorporate their ideas and thoughts into our proposal. We will obtain our clients’ final proposal before executing.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project execution stage, we will constantly monitor the effectiveness of our services and make adjustment in accordance with our clients’ needs and requests. For engagement on a project-by-project basis, we generally bill our clients upon reaching certain milestones. For engagement over a period of time, we generally bill our clients for service provided monthly or yearly. Upon conclusion of the project or engagement, we will follow up with our clients to obtain their comments and discuss any possible add on services or follow up services that we can provide.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accurately estimating the cost of project is essential to our overall profitability. Our fee quotation is generally determined by adding certain mark-ups over our estimated costs. In assessing the fee for our services, we take into account the costs to be incurred based on our past experience, duration, manpower required and complexity of the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the percentage of mark-up for each project, we generally consider the complexity and duration of the project, our business relation with the client, the client’s background, the prospect of obtaining future projects from the client or referrals of the client, the possibility of establishing our reputation in the industry, the prevailing market conditions and competitors’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and marketing function is performed by our management team and project execution team who are responsible for maintaining relationships with the management of our existing clients and exploring leads from new clients. We identify new clients mainly through referrals from our existing clients and business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mainly consist of (i) clients that intend to seek a listing or are listed on a stock exchange; and (ii) companies and professional firms in the financial industry. The number of clients with revenue contribution to us was 1 for the fiscal year ended December 31, 2023, 22 for the fiscal year ended December 31, 2024 and 18 for the fiscal year ended December 31, 2025. The total revenue attributable to our five largest clients in aggregate accounted for approximately 49.9%, 48.6% and 100.0% of the total revenue for the fiscal years ended December 31, 2025, 2024 and 2023,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fiscal year ended December 31, 2025, 2 of our clients accounted for more than 10% of our annual revenue, with Industrial Bank Co., Limited for 13.6%, and Fortune Case Limited for 10.1%. In the fiscal year ended December 31, 2024, 2 of our clients accounted for more than 10% of our annual revenue, Marlin Capital Limited for 12.1%, and MOG Digitech Holdings Limited for 10.2%. In the fiscal year ended December 31, 2023, 1 of our clients accounted for more than 10% of our annual revenue, with M-Coffee (Hong Kong) Holdings Limited for 100.0%.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Hong Kong Operating Subsidiary generally enters into contracts with our clients. Although the terms of the contracts may vary, the material terms that are generally contained are set out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Duration</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Generally one year</w:t>
            </w:r>
          </w:p>
        </w:tc>
      </w:tr>
      <w:tr>
        <w:trPr>
          <w:trHeight w:val="49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Scope of Service</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Depending on clients’ needs, our services may comprise management of public relation, management of investor relation,</w:t>
            </w:r>
          </w:p>
        </w:tc>
      </w:tr>
      <w:tr>
        <w:trPr>
          <w:trHeight w:val="234"/>
        </w:trPr>
        <w:tc>
          <w:tcPr>
            <w:tcW w:w="174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tailored due diligence exercises and/or other value-added services.</w:t>
            </w:r>
          </w:p>
        </w:tc>
      </w:tr>
      <w:tr>
        <w:trPr>
          <w:trHeight w:val="414"/>
        </w:trPr>
        <w:tc>
          <w:tcPr>
            <w:tcW w:w="1740" w:type="dxa"/>
            <w:vAlign w:val="bottom"/>
          </w:tcPr>
          <w:p>
            <w:pPr>
              <w:spacing w:after="0"/>
              <w:rPr>
                <w:sz w:val="24"/>
                <w:szCs w:val="24"/>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Our Hong Kong Operating Subsidiary is required to provide the deliverables in a timely manner. If our Hong Kong</w:t>
            </w:r>
          </w:p>
        </w:tc>
      </w:tr>
      <w:tr>
        <w:trPr>
          <w:trHeight w:val="216"/>
        </w:trPr>
        <w:tc>
          <w:tcPr>
            <w:tcW w:w="174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Subsidiary for reasonable reasons wish to amend the timetable, scope of services and methodology, we shall</w:t>
            </w:r>
          </w:p>
        </w:tc>
      </w:tr>
      <w:tr>
        <w:trPr>
          <w:trHeight w:val="216"/>
        </w:trPr>
        <w:tc>
          <w:tcPr>
            <w:tcW w:w="174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obtain our clients’ approval 10 business days prior to provision of services. Within 7 business days from providing the</w:t>
            </w:r>
          </w:p>
        </w:tc>
      </w:tr>
      <w:tr>
        <w:trPr>
          <w:trHeight w:val="234"/>
        </w:trPr>
        <w:tc>
          <w:tcPr>
            <w:tcW w:w="174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deliverables, we shall amend according to our clients’ instructions.</w:t>
            </w:r>
          </w:p>
        </w:tc>
      </w:tr>
      <w:tr>
        <w:trPr>
          <w:trHeight w:val="5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Fee</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Generally a fixed fee or monthly/annual fee</w:t>
            </w:r>
          </w:p>
        </w:tc>
      </w:tr>
      <w:tr>
        <w:trPr>
          <w:trHeight w:val="49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Termination</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If we fail to provide the scope of services in the contracts timely, our clients have the right to terminate the contract and we</w:t>
            </w:r>
          </w:p>
        </w:tc>
      </w:tr>
      <w:tr>
        <w:trPr>
          <w:trHeight w:val="234"/>
        </w:trPr>
        <w:tc>
          <w:tcPr>
            <w:tcW w:w="174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have to refund the fee for our remaining works.</w:t>
            </w:r>
          </w:p>
        </w:tc>
      </w:tr>
      <w:tr>
        <w:trPr>
          <w:trHeight w:val="655"/>
        </w:trPr>
        <w:tc>
          <w:tcPr>
            <w:tcW w:w="17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While we recognize revenue over time for integrated investor relations services structured under service contracts, we recognize revenue at a point in time for certain one-off engagements. Revenue is recognized when the agreed-upon deliverables have been fully completed, and the client has obtained control of the service output.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point-in-time engagements typically include discrete services such as tailored due diligence exercises, promotional materials production, and standalone event coordination. Generally, we receive full payment of the pre-agreed fee before performing the relevant services. Revenue is recognized when all performance obligations have been satisfied, and no further obligations remain under the respective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Vendors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business nature, our vendors primarily comprise public relation companies to assist us in roadshow arrangement and other ancillary services. In the fiscal year ended December 31, 2025 and 2024, one of our vendors accounted for over 10% of the cost of revenue, with 3H Mgt (HK) Limited for 38.8% and 36.2%, respectively. In the fiscal year ended December 31, 2023, none of our vendors accounted for over 10% of the cost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experience any seasonality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Hong Kong Operating Subsidiary maintain employees’ compensation insurance for our directors and employees at our office, which covers the liability to make payment in the case of death, injury or disability of all our employees under the Employees’ Compensation Ordinance (Chapter 282 of the Laws of Hong Kong) and at common law for injuries sustained at work. We believe that our current insurance policies are sufficient for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our Hong Kong Operating Subsidiary and Etoiles Financial have obtained all material licenses, certificates, and approvals required for carrying on our business activities in Hong Kong for the fiscal years ended December 31, 2025, 2024 and 2023, and up to the date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Etoiles Financial entered into the following lease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Pr>
          <w:p>
            <w:pPr>
              <w:spacing w:after="0"/>
              <w:rPr>
                <w:sz w:val="21"/>
                <w:szCs w:val="21"/>
                <w:color w:val="auto"/>
              </w:rPr>
            </w:pPr>
          </w:p>
        </w:tc>
        <w:tc>
          <w:tcPr>
            <w:tcW w:w="37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Term of lease</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Usage</w:t>
            </w:r>
          </w:p>
        </w:tc>
      </w:tr>
      <w:tr>
        <w:trPr>
          <w:trHeight w:val="198"/>
        </w:trPr>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Unit 03-04, 25/F, Cosco Tower, 183 Queen’s Road Central, Sheung Wan,</w:t>
            </w:r>
          </w:p>
        </w:tc>
        <w:tc>
          <w:tcPr>
            <w:tcW w:w="220" w:type="dxa"/>
            <w:vAlign w:val="bottom"/>
          </w:tcPr>
          <w:p>
            <w:pPr>
              <w:spacing w:after="0"/>
              <w:rPr>
                <w:sz w:val="17"/>
                <w:szCs w:val="17"/>
                <w:color w:val="auto"/>
              </w:rPr>
            </w:pPr>
          </w:p>
        </w:tc>
        <w:tc>
          <w:tcPr>
            <w:tcW w:w="3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March 10, 2025 to March 20, 2027</w:t>
            </w:r>
          </w:p>
        </w:tc>
        <w:tc>
          <w:tcPr>
            <w:tcW w:w="200" w:type="dxa"/>
            <w:vAlign w:val="bottom"/>
          </w:tcPr>
          <w:p>
            <w:pPr>
              <w:spacing w:after="0"/>
              <w:rPr>
                <w:sz w:val="17"/>
                <w:szCs w:val="17"/>
                <w:color w:val="auto"/>
              </w:rPr>
            </w:pPr>
          </w:p>
        </w:tc>
        <w:tc>
          <w:tcPr>
            <w:tcW w:w="2020" w:type="dxa"/>
            <w:vAlign w:val="bottom"/>
            <w:tcBorders>
              <w:top w:val="single" w:sz="8" w:color="auto"/>
            </w:tcBorders>
          </w:tcPr>
          <w:p>
            <w:pPr>
              <w:ind w:left="780"/>
              <w:spacing w:after="0" w:line="198" w:lineRule="exact"/>
              <w:rPr>
                <w:sz w:val="20"/>
                <w:szCs w:val="20"/>
                <w:color w:val="auto"/>
              </w:rPr>
            </w:pPr>
            <w:r>
              <w:rPr>
                <w:rFonts w:ascii="Times New Roman" w:cs="Times New Roman" w:eastAsia="Times New Roman" w:hAnsi="Times New Roman"/>
                <w:sz w:val="18"/>
                <w:szCs w:val="18"/>
                <w:color w:val="auto"/>
              </w:rPr>
              <w:t>Office</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Room 1510, 15/F, Tower A, Fangtian Technology Plaza, Nanshan</w:t>
            </w: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5, 2025 to January 15, 2028</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Office</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District, Shenzhen, Guangdong, China.</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the registered owner of the domain name https://etoilesgroup.com. “Etoiles” is a trademark registered under a related party of the Company and licensed for use to Etoiles Consultancy, Etoiles Financial, Etoiles 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Etoiles Cayman and its subsidiaries had not been involved in any legal proceedings, investigations, claims nor had we been aware of any pending or threatened litigation, arbitration or other claims, which would have a material adverse impact on the operations, financial position and reputation of our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in material jurisdictions.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our Business Operation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TRADE DESCRIPTION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Description Ordinance (Chapter 362 of the Laws of Hong Kong)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an amendment in 2012, which came into operation in 2013, some new provisions in the Trade Description Ordinance (“TDO”) are relevant to commercial practice including advertising and marketing.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2 of the TDO, trade description can now be applied to a service. It means in relation to a service, an indication, direct or indirect, and by whatever means given, with respect to the service or any part of the service including an indication of any of the following matters:</w:t>
      </w:r>
    </w:p>
    <w:p>
      <w:pPr>
        <w:spacing w:after="0" w:line="162"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scope, quantity (including the number of occasions on which, and the length of time for which, the service is supplied or to be supplied), standard, quality, value or grade;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 for purpose, strength, performance, effectiveness, benefits or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and procedure by which, manner in which, and location at which, the service is supplied or to be supplied;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by any person and the results of the testing;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any person or conformity with a type approved by any person; (g) a person by whom it has been acquired, or who has agreed to acquire it; (h) the person by whom the service is supplied or to be supplied;</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after-sale service assistance concerning the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how price is calculated or the existence of any price advantage or discount.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section 7A of the TDO, a trader who applies a false trade description to a service supplied or offered to be supplied to a consumer; or supplies or offers to supply to a consumer a service to which a false trade description is applied commits an offence. Under section 13E of the TDO, if the commercial practice (including advertising and marketing) contains misleading omission as to material information the trader commits a criminal offence.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18 of the TDO, any person who commits an offence under inter alia, section 7A or section 13E shall be liable on conviction on indictment to a maximum fine of HK$500,000.00 and imprisonment for 5 years; and on summary conviction to a maximum fine of HK$100,000.00 and imprisonment for 2 years. Further, under section 18A of the TDO, on conviction of an offence under inter alia sections 7A and 13E, the court has the additional power to order the payment of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section 20 of the TDO, if the offence is committed by a limited company and the offence has been committed with the consent or connivance or is attributable to the neglect of a person including a director, officer or manager they also commit the offence.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MISREPRESENTATION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Misrepresentation Ordinance (Chapter 284 of the laws of 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Misrepresentation Ordinance, where a person has entered into a contract after a misrepresentation has been made to him, and (a) the misrepresentation has become a term of the contract; or (b) the contract has been performed, or both, then, if otherwise he would be entitled to rescind the contract without alleging fraud, he shall be so entitled, subject to the provisions of this Ordinance, notwithstanding the matters mentioned in (a) and (b)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3 of the Misrepresentation Ordinance:</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person has entered into a contract after a misrepresentation has been made to him by another party thereto and as a result thereof he has suffered loss, then, if the person making the misrepresentation would be liable to damages in respect thereof had the misrepresentation been made fraudulently, that person shall be so liable notwithstanding that the misrepresentation was not made fraudulently, unless he proves that he had reasonable grounds to believe and did believe up to the time the contract was made that the facts represented were true.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person has entered into a contract after a misrepresentation has been made to him otherwise than fraudulently, and he would be entitled, by reason of the misrepresentation, to rescind the contract, then, if it is claimed, in any proceedings arising out of the contract, that the contract ought to be or has been rescinded the court or arbitrator may declare the contract subsisting and award damages in lieu of rescission, if of opinion that it would be equitable to do so, having regard to the nature of the misrepresentation and the loss that would be caused by it if the contract were upheld, as well as to the loss that rescission would cause to the other party.</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may be awarded against a person under subsection (2) whether or not he is liable to damages under subsection (1), but where he is so liable any award under subsection (2) shall be taken into account in assessing his liability under subsection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PERSONAL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Data (Privacy) Ordinance (Chapter 486 of the laws of Hong Kong)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Personal Data (Privacy) Ordinance protects the privacy interests of living individuals in relation to personal data. It covers any automated and non-automated data relating directly or indirectly to a living individual and applies to both public and private bodies as data users that control the collection, holding, processing or use of personal data.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six principles in respect of the purpose and manner of collection of data, the accuracy and duration of retention of data, the use of personal data, the security of personal data, the information to be generally available and the access to personal data. In general, the personal data shall be lawfully and fairly collected and steps should be taken to ensure that the data subject is explicitly or implicitly informed on or before collecting the data. Personal data should also be accurate, up-to-date and kept no longer than necessary while unless with the consent from the data subjects, personal data should be used for the purposes for which they were collected or a directly related purpose.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Office of the Privacy Commissioner for Personal Data is the governing body to promote, administer and oversee the enforcement of the Personal Data (Privacy) Ordinance. It has the power to carry out inspections of any personal data systems, to receive complaints from individuals and to investigate data users in respect of the complaints filed.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 EMPLOYMENT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Wage Ordinance (Chapter 608 of the Laws of Hong Kong)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Minimum Wage Ordinance provides for a prescribed minimum hourly wage (set at HK$43.1 per hour as at the date of this annual report) during the wage period for every employee engaged under a contract of employment under the Employment Ordinance. Any provision of the employment contract which purports to extinguish or reduce the right, benefit or protection conferred on the employee by the Minimum Wage Ordinance is void.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Provident Fund Schemes Ordinance (Chapter 485 of the Laws of Hong Kong) (“MPF Schemes Ordinance”)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Employers are required to enroll their regular employees (except for certain exempt persons) aged between at least 18 but under 65 years of age and employed for 60 days or more in a Mandatory Provident Fund (“</w:t>
      </w:r>
      <w:r>
        <w:rPr>
          <w:rFonts w:ascii="Times New Roman" w:cs="Times New Roman" w:eastAsia="Times New Roman" w:hAnsi="Times New Roman"/>
          <w:sz w:val="18"/>
          <w:szCs w:val="18"/>
          <w:b w:val="1"/>
          <w:bCs w:val="1"/>
          <w:color w:val="auto"/>
        </w:rPr>
        <w:t>MPF</w:t>
      </w:r>
      <w:r>
        <w:rPr>
          <w:rFonts w:ascii="Times New Roman" w:cs="Times New Roman" w:eastAsia="Times New Roman" w:hAnsi="Times New Roman"/>
          <w:sz w:val="18"/>
          <w:szCs w:val="18"/>
          <w:color w:val="auto"/>
        </w:rPr>
        <w:t>”) scheme within the first 60 days of employment.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both employees and employers, it is mandatory to make regular contributions into an MPF scheme. For an employee, subject to the maximum and minimum levels of income (set at HK$30,000 and HK$7,100 per month, respectively, as at the date of this annual report), an employer will deduct 5% of the relevant income on behalf of an employee as mandatory contributions to a registered MPF scheme with a ceiling (set at HK$1,500 as at the date of this annual report). The employer will also be required to contribute an amount equivalent to 5% of an employee’s relevant income to the MPF scheme, subject only to the maximum level of income (set at HK$30,000 as at the date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HEALTH AND SAFETY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Occupational Safety and Health Ordinance (Chapter 509 of the Laws of 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Occupational Safety and Health Ordinance provides for the safety and health protection to employees in workplaces, both industrial and non-industrial.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Employers must as far as reasonably practicable ensure the safety and health in their workplaces by:</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and maintaining plant and systems of work that are safe and without risks to health;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for ensuring safety and absence of risks to health in connection with the use, handling, storage or transport of plant or substances;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regards any workplace under the employer’s control: maintenance of the workplace in a condition that is safe and without risks to health; and provision and maintenance of means of access to and egress from the workplace that are safe and without any such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all necessary information, instructions, training and supervision for ensuring safety and health;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and maintaining a working environment for the employer’s employees that is safe and without risks to health.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 above provisions constitutes an offence and the employer is liable on conviction to a fine of HK$200,000. An employer who fails to do so intentionally, knowingly or recklessly commits an offence and is liable on conviction to a fine of HK$200,000 and to imprisonment for six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Commissioner for Labor may also issue an improvement notice against non-compliance of the Occupational Safety and Health Ordinance or suspension notice against activity or condition of workplace which may create imminent risk of death or serious bodily injury. Failure to comply with such notice without reasonable excuse constitutes an offence punishable by a fine of HK$200,000 and HK$500,000 respectively and imprisonment of up to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Compensation Ordinance (Chapter 282 of the Laws of Hong Kong)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Employees’ Compensation Ordinance establishes a no-fault and non-contributory employee compensation system for work injuries and lays down the rights and obligations of employers and employees in respect of injuries or death caused by accidents arising out of and in the course of employment, or by prescribed occupational diseases.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Employees’ Compensation Ordinance, if an employee sustains an injury or dies as a result of an accident arising out of and in the course of his employment, his employer is in general liable to pay compensation even if the employee might have committed acts of faults or negligence when the accident occurred. Similarly, an employee who suffers incapacity arising from an occupational disease is entitled to receive the same compensation as that payable to employees injured in occupational accidents.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section 15(1A) of the Employees’ Compensation Ordinance, employer shall report work injuries of its employee to the Commissioner of Labor not later than 14 days after the accident, irrespective of whether the accident gives rise to any liability to pay compensation.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40 of the Employees’ Compensation Ordinance, all employers (including contractors and subcontractors) are required to take out insurance policies to cover their liabilities both under the Employees’ Compensation Ordinance and at common law for injuries at work in respect of all their employees (including full-time and part-time employees). Under section 40(1B) of the Employees’ Compensation Ordinance, where a principal contractor has undertaken to perform any construction work, it may take out an insurance policy for an amount not less than HK$200 million per event to cover his liability and that of his subcontractor(s) under the Employees’ Compensation Ordinance and at common law. Where a principal contractor has a policy of insurance under section 40(1B) of the Employees’ Compensation Ordinance, the principal contractor and a subcontractor insured under the policy shall be regarded as having complied with section 40(1) of the Employees’ Compensation Ordinance.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employer who fails to comply with the Employees’ Compensation Ordinance to secure an insurance cover is liable on conviction upon indictment to a fine at level 6 (currently at HK$100,000) and to imprisonment for two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Ordinance (Chapter 347 of the Laws of 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Limitation Ordinance, the time limit for an applicant to commence common law claims for personal injuries is three years from the date on which the cause of action accrued.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Occupiers Liability Ordinance (Chapter 314 of the Laws of Hong Kong)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Occupiers Liability Ordinance regulates the obligations of a person occupying or having control of premises on injury resulting to persons or damage caused to goods or other property on the land.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Occupiers Liability Ordinance imposes a common duty of care on an occupier of premises to take such care as in all the circumstances of the case is reasonable to see that the visitor will be reasonably safe in using the premises for the purposes for which he is invited or permitted by the occupier to be there.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Registration Ordinance (Chapter 310 of the Laws of 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Registration Ordinance requires every person who carries on a business in Hong Kong to apply for business registration within one month from the date of commencement of the business, and to display a valid business registration certificate at the place of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person who fails to apply for business registration or display a valid business registration certificate at the place of business shall be guilty of an offence and shall be liable to a fine of HK$5,000 and imprisonment for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from April 1, 2018, profits tax is levied on a two-tiered profits tax rate basis, with the first HK$2 million of profits being taxed at 8.25% for corporations and 7.5% for unincorporated businesses, and profits exceeding the first HK$2 million being taxed at 16.5% for corporations and 15% for unincorporated businesses.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16, 2007, the National People’s Congress enacted the Enterprise Income Tax Law of PRC, or the Enterprise Income Tax Law, while the State Council promulgated the Implementing Rules of the Enterprise Income Tax Law of PRC, or the Implementing Rules on December 6, 2007, both of which became effective on January 1, 2008. The Enterprise Income Tax Law was further amended by SCNPC on February 24, 2017, which stimulates that corporate income tax shall be payable by a resident enterprise for income derived from or accruing in or outside China. Corporate income tax shall be payable by a non-resident enterprise, for income derived from or accruing in China by its office or premises established in China, and for income derived from or accruing outside China for which the established office or premises has a de facto relationship. The corporate income tax shall be at the rate of 25%. The applicable tax rate for income of a non-resident enterprise under the provisions of the third paragraph of Article 3 shall be 20%. Corporate income tax for qualified small profit enterprises shall be at a reduced tax rate of 20%. Corporate income tax for key advanced and new technology enterprises supported by the State shall be at a reduced tax rate of 15%. On the other hand, the State Administration of Taxation provides certain specific criteria for determining whether the “de facto management body” of a PRC-controlled offshore enterprise is located in China. Simply speaking, the criteria is more focused on substantive rather than format. Pursuant to its Circular 82 of 2009, the criteria to determine “de facto management body” include:</w:t>
      </w:r>
    </w:p>
    <w:p>
      <w:pPr>
        <w:spacing w:after="0" w:line="4" w:lineRule="exact"/>
        <w:rPr>
          <w:sz w:val="20"/>
          <w:szCs w:val="20"/>
          <w:color w:val="auto"/>
        </w:rPr>
      </w:pPr>
    </w:p>
    <w:p>
      <w:pPr>
        <w:jc w:val="both"/>
        <w:ind w:firstLine="8"/>
        <w:spacing w:after="0" w:line="25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 (d) more than half of the enterprise’s directors or senior management with voting rights habitually reside in the PRC. Furthermore, the SAT published Bulletin 45 in September 2011, which provides more guidance on the implementation of the definition and provides for procedures and administration details on determining resident status and administration on post-determination matters. However, the SAT Circular 82 and Bulletin 45 only apply to offshore enterprises controlled by PRC enterprises or PRC enterprise groups rather than those controlled by PRC individuals or foreign individuals. So far there is no further criteria passed yet and no applicable legal precedents either, therefore it remains unclear how the PRC tax authorities will determine the PRC tax resident treatment of a foreign company controlled by individuals. Under these existing criteria, it is unlikely that we will be classified as a PRC “resident enterprise” for PRC enterprise income tax purposes. If so, it would likely result in unfavorable tax consequences to our non-PRC shareholders and have a material adverse effect on our results of operations and the value of your investment.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21, 2006, China and Hong Kong signed the Arrangement between Mainland China and Hong Kong SAR concerning Avoiding Double Taxation and Preventing Tax Evasion on Income. When a Chinese company distributes dividends to Hong Kong residents (beneficiary owners of dividends), if the recipient directly owns at least 25% of the equity interest in the above-mentioned Chinese company, the Chinese withholding tax rate is 5%, otherwise it is 10%. On October 14, 2019, the State Administration of Taxation promulgated the Announcement of State Taxation Administration on Promulgation of the Administrative Measures on Non-resident Taxpayers Enjoying Treaty Benefits, which stimulate that non-resident taxpayers claiming treaty benefits shall be handled in accordance with the principles of “self-assessment, claiming benefits, retention of the relevant materials for future inspection”. Where a non-resident taxpayer self-assesses and concludes that it satisfies the criteria for claiming treaty benefits, it may enjoy treaty benefits at the time of tax declaration or at the time of withholding through the withholding agent, simultaneously gather and retain the relevant materials pursuant to the provisions of these Measures for future inspection, and accept follow-up administration by the tax authorities.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list of our subsidiaries as of the date of this annual report.</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Zynergy Holding Co., Limited</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Etoiles Consultancy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Etoiles Financial Group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Etoiles Vision Technology (Shenzhen) Company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Etoiles Original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BVI</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the corporate structure of Etoiles Capital Group Co., Limited and its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154305</wp:posOffset>
            </wp:positionV>
            <wp:extent cx="4397375" cy="1928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973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Our principal executive offices are located at Unit 03-04, 25/F, Cosco Tower, 183 Queen’s Road Central, Sheung Wan, Hong Kong. Our registered office in the Cayman Islands is located at Ogier Global (Cayman) Limited, 89 Nexus Way, Camana Bay, Grand Cayman, KY1-9009, Cayman Islands. The information contained therein or connected thereto shall not be deemed to be incorporated into this annual report of which it forms a part. Our agent for service of process in the United States is Cogency Global Inc., 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Pr>
          <w:p>
            <w:pPr>
              <w:spacing w:after="0"/>
              <w:rPr>
                <w:sz w:val="21"/>
                <w:szCs w:val="21"/>
                <w:color w:val="auto"/>
              </w:rPr>
            </w:pPr>
          </w:p>
        </w:tc>
        <w:tc>
          <w:tcPr>
            <w:tcW w:w="37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Term of lease</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Usage</w:t>
            </w:r>
          </w:p>
        </w:tc>
      </w:tr>
      <w:tr>
        <w:trPr>
          <w:trHeight w:val="198"/>
        </w:trPr>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Unit 03-04, 25/F, Cosco Tower, 183 Queen’s Road Central, Sheung Wan,</w:t>
            </w:r>
          </w:p>
        </w:tc>
        <w:tc>
          <w:tcPr>
            <w:tcW w:w="220" w:type="dxa"/>
            <w:vAlign w:val="bottom"/>
          </w:tcPr>
          <w:p>
            <w:pPr>
              <w:spacing w:after="0"/>
              <w:rPr>
                <w:sz w:val="17"/>
                <w:szCs w:val="17"/>
                <w:color w:val="auto"/>
              </w:rPr>
            </w:pPr>
          </w:p>
        </w:tc>
        <w:tc>
          <w:tcPr>
            <w:tcW w:w="3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March 10, 2025 to March 20, 2027</w:t>
            </w:r>
          </w:p>
        </w:tc>
        <w:tc>
          <w:tcPr>
            <w:tcW w:w="200" w:type="dxa"/>
            <w:vAlign w:val="bottom"/>
          </w:tcPr>
          <w:p>
            <w:pPr>
              <w:spacing w:after="0"/>
              <w:rPr>
                <w:sz w:val="17"/>
                <w:szCs w:val="17"/>
                <w:color w:val="auto"/>
              </w:rPr>
            </w:pPr>
          </w:p>
        </w:tc>
        <w:tc>
          <w:tcPr>
            <w:tcW w:w="2020" w:type="dxa"/>
            <w:vAlign w:val="bottom"/>
            <w:tcBorders>
              <w:top w:val="single" w:sz="8" w:color="auto"/>
            </w:tcBorders>
          </w:tcPr>
          <w:p>
            <w:pPr>
              <w:ind w:left="780"/>
              <w:spacing w:after="0" w:line="198" w:lineRule="exact"/>
              <w:rPr>
                <w:sz w:val="20"/>
                <w:szCs w:val="20"/>
                <w:color w:val="auto"/>
              </w:rPr>
            </w:pPr>
            <w:r>
              <w:rPr>
                <w:rFonts w:ascii="Times New Roman" w:cs="Times New Roman" w:eastAsia="Times New Roman" w:hAnsi="Times New Roman"/>
                <w:sz w:val="18"/>
                <w:szCs w:val="18"/>
                <w:color w:val="auto"/>
              </w:rPr>
              <w:t>Office</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Room 1510, 15/F, Tower A, Fangtian Technology Plaza, Nanshan</w:t>
            </w: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5, 2025 to January 15, 2028</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Office</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District, Shenzhen, Guangdong, China.</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4A. U</w:t>
            </w:r>
            <w:r>
              <w:rPr>
                <w:rFonts w:ascii="Times New Roman" w:cs="Times New Roman" w:eastAsia="Times New Roman" w:hAnsi="Times New Roman"/>
                <w:sz w:val="12"/>
                <w:szCs w:val="12"/>
                <w:b w:val="1"/>
                <w:bCs w:val="1"/>
                <w:color w:val="auto"/>
              </w:rPr>
              <w:t>nresolved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taff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omments</w:t>
            </w: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 O</w:t>
      </w:r>
      <w:r>
        <w:rPr>
          <w:rFonts w:ascii="Times New Roman" w:cs="Times New Roman" w:eastAsia="Times New Roman" w:hAnsi="Times New Roman"/>
          <w:sz w:val="12"/>
          <w:szCs w:val="12"/>
          <w:b w:val="1"/>
          <w:bCs w:val="1"/>
          <w:color w:val="auto"/>
        </w:rPr>
        <w:t>perating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eview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5.A. Operating Results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Our business operations are conducted through our indirect wholly-owned Hong Kong subsidiary, Etoiles Consultancy. We also wholly own, directly or indirectly, (i) Etoiles Financial, incorporated in Hong Kong on November 16, 2023, which has no material operations and is primarily used to manage certain administrative and operating expenses of the Group; (ii) Etoiles Vision, incorporated in the People’s Republic of China on December 19, 2025, which has no material operations and is primarily used to manage certain administrative matters in the PRC; and (iii) Etoiles Original, incorporated in the British Virgin Islands on October 8, 2025, which has no material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as a single-segment business, specializing in integrated investor relations services in Hong Kong.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investor relations services encompass a comprehensive range of offerings tailored to meet the needs of our clients.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Relations Management involves assisting clients in enhancing their corporate image by developing strategic promotional plans, preparing corporate presentations and investor materials, and designing investor relations websites. Our Hong Kong Operating Subsidiary also creates advertising strategies and publicity materials to strengthen brand visibility. Additionally, our Hong Kong Operating Subsidiary provides support for key corporate events, including roadshows, press conferences, corporate ceremonies, and media interviews. In times of crisis, we assist in managing communication and reputation risks effectively.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 Relations Management focuses on strengthening relationships between our clients and their investors. Our Hong Kong Operating Subsidiary assists in drafting investor relations media documents, coordinating shareholder meetings and press conferences, and helping clients identify and engage with their shareholders to foster better investor communication and transparency.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Tailored Due Diligence Services are designed to support clients in evaluating specific investment or acquisition targets worldwide. Our Hong Kong Operating Subsidiary’s services include reviewing statutory records, conducting site visits, and preparing detailed due diligence reports to facilitate informed decision-making.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these core services, our Hong Kong Operating Subsidiary offers Value-Added Services such as website design enhancements and the production of high-quality promotional videos, ensuring that our clients maintain a strong and compelling presence in the market.</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w:t>
      </w:r>
    </w:p>
    <w:p>
      <w:pPr>
        <w:spacing w:after="0" w:line="1" w:lineRule="exact"/>
        <w:rPr>
          <w:sz w:val="20"/>
          <w:szCs w:val="20"/>
          <w:color w:val="auto"/>
        </w:rPr>
      </w:pPr>
    </w:p>
    <w:p>
      <w:pPr>
        <w:ind w:left="5540" w:right="1300" w:hanging="5532"/>
        <w:spacing w:after="0" w:line="761"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that intend to seek a listing or are listed on a stock exchange; and (ii) companies and professional firms in the financial industry.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fiscal years ended December 31, 2025, 2024 and 2023, our total revenue was approximately $3.2 million, $2.5 million and $0.1 million, respectively. The number of clients with revenue contribution to us was 1 for the fiscal year ended December 31, 2023, 22 for the fiscal year ended December 31, 2024, and 18 for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performance is influenced by several key factors, which may impact our revenue, profitability, and overall business operations. These factors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Conditions of the Capital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investor relations services is closely tied to the overall health of the capital markets, particularly in Hong Kong and the U.S., where most of our clients operate. Market volatility, changes in investor sentiment, economic downturns, and fluctuations in IPO activities can significantly affect demand for our services. A decline in capital market activities, such as fewer IPOs or decreased investor engagement, could lead to reduced client spending on investor relations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and Compliance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landscape for publicly listed companies is continuously evolving, with changes in disclosure requirements, corporate governance practices, and investor relations guidelines. Stricter regulations or increased compliance costs may influence the scope and nature of services our clients require, which could impact our revenue streams. Additionally, regulatory uncertainties or geopolitical developments affecting capital markets may indirectly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Retention and Business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retain existing clients and attract new ones is crucial to sustaining our growth. Since many of our service engagements are project-based, client retention is not guaranteed. A decline in repeat business or increased client churn may negatively impact our financial performance. Additionally, competition within the industry may result in pricing pressures, requiring us to continuously enhance our service offerings and maintain strong client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Service Demand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Demand for investor relations services can vary based on macroeconomic trends, investor sentiment, and corporate activities such as IPOs, mergers and acquisitions, or capital raising efforts. Periods of reduced market activity may lead to lower demand for investor relations services, affecting our revenue stability. Conversely, heightened market activity can create growth opportunities, provided we can scale our operations efficiently.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Recruitment and Retention of Skilled Professionals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success relies on the expertise and experience of our professional team. The investor relations industry requires a deep understanding of financial markets, corporate communications, and regulatory compliance. Attracting, training, and retaining top talent is critical to maintaining high service quality and delivering value to our clients. Rising labor costs, talent shortages, or high employee turnover could impact our operational efficiency and client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 Costs and Operational Efficiency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represent a significant portion of our operating expenses. The ability to manage labor costs while maintaining service quality is crucial to our profitability. Rising wages or increased competition for skilled professionals may put pressure on our margins. Additionally, inefficiencies in resource allocation, workflow management, or technology adoption could impact our ability to scale operations effectively.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Competition in the Industry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relations industry in Hong Kong and other key markets is highly competitive, with numerous service providers offering similar solutions. Larger firms may have stronger brand recognition, extensive networks, and diversified service offerings, which could place pressure on our pricing and client acquisition strategies. Additionally, new entrants with innovative technologies may disrupt the industry landscape, necessitating continuous improvements in our service delivery.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Geopolitical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economic trends, trade policies, interest rate fluctuations, and geopolitical tensions may indirectly impact our business. Factors such as economic slowdowns, inflationary pressures, or financial market instability can reduce corporate budgets for investor relations services. Additionally, uncertainties arising from geopolitical events may influence investor confidence and corporate communication strategies, affecting the demand for our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Advancements and Digital Transformation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 relations industry is increasingly adopting digital solutions, such as virtual roadshows, AI-driven investor analytics, and digital communication platforms. The pace of technological change requires us to continuously enhance our digital capabilities to remain competitive. Failure to adapt to emerging technologies or changing client preferences may limit our ability to expand our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Years Ended December 31, 2025,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components of our results of operations for the years ended December 31,2025,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(997,475)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(534,880)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(259,760)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(130,494)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(1,997,017)</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(859,935)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(3,254,252)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(31,908)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(27,636)</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(59,544)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(94,116)</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(144,417)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7"/>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vMerge w:val="continue"/>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(153,660</w:t>
            </w:r>
          </w:p>
        </w:tc>
        <w:tc>
          <w:tcPr>
            <w:tcW w:w="2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852,499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geographical area of the customers for the years ended December 31, 2025, 2024 and 2023,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2,591,288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2,318,605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631,056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115,340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3,222,344</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2,525,909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2025, our total revenue increased to $3,222,344, compared to $2,525,909 for the year ended December 31, 2024, representing steady growth. The increase was primarily driven by higher contract values associated with the projects undertaken during the year. The majority of our revenue was generated from clients based in Hong Kong, which accounted for $2,591,288, followed by $631,056 from China. The increase in revenue was primarily attributable to enhanced client retention and the expansion of service scope for existing clients, resulting in higher recurring service fees and larger overall contract values.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comparison, our total revenue increased significantly to $2,525,909 for the fiscal year ended December 31, 2024, compared to $63,863 in the previous year. This substantial growth was primarily driven by an expansion in our service offerings and a significant increase in client engagements. The majority of our revenue was generated from clients based in Hong Kong, which accounted for $2,318,605, followed by $115,340 from China and $91,964 from the United States. The increase in revenue was primarily attributable to the rising demand for investor relations services from Hong Kong-listed and U.S.-listed companies, as well as pre-IPO firms seeking advisory support.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Our operating expenses consist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3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997,475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259,760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130,494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1,997,017</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859,935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3,254,252</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1,525,309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fiscal year ended December 31, 2025, increased significantly to $3,254,252, compared to $1,525,309 in 2024. The increase in expenses was mainly driven by the scaling of our operations, including additional hiring, enhanced operational support functions, and higher costs incurred to meet the growing demand for our services.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 cost of revenue increased to $997,475 for the year ended December 31, 2025, reflecting higher costs incurred in delivering projects with larger contract sums and broader service scope, including increased professional support and project execution expenses.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expenses amounted to $259,760 for the year ended December 31, 2025, mainly due to enhanced marketing initiatives and business development efforts aimed at securing larger contract values and strengthening client relationships in connection with our expanded service scope.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comparison, operating expenses for the fiscal year ended December 31, 2024, increased to $1,525,309, compared to $28,436 in 2023. The rise in expenses was primarily due to the costs associated with business expansion. Direct cost of revenue increased to $534,880, reflecting higher subcontracting and supplier fees. Selling expenses amounted to $130,494, primarily due to marketing and business development efforts.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breakdown of general and administrative expenses for the years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professional fee</w:t>
            </w:r>
          </w:p>
        </w:tc>
        <w:tc>
          <w:tcPr>
            <w:tcW w:w="3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233,208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 ROU</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88,910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50,585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112,064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Overseas Traveling</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63,763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employees benefit</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362,128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522,135</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1,997,017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859,935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8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significantly to $1,997,017 for the year ended December 31, 2025 from $859,935 for the year ended December 31, 2024, representing an increase of $1,137,082, or approximately 132%. The increase was primarily attributable to higher legal, audit, and other professional fees incurred in connection with the preparation for and completion of our initial public offering.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general and administrative expenses increased as a result of business expansion and operational scaling to support larger contract values and expanded service offerings. Wages and salaries increased due to additional hiring and enhanced compensation to support our growing operations. Depreciation expense, including depreciation of right-of-use assets, increased primarily as a result of office expansion. Overseas traveling expenses also increased in connection with expanded business development activities and client engagement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a decrease in information technology expenses, which declined compared to the prior year due to reduced technology-related investments following infrastructure upgrades completed in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comparison, general and administrative expenses increased to $859,935 for the year ended December 31, 2024 from $15,663 for the year ended December 31, 2023. The increase was primarily attributable to the fact that the Group commenced business operations in September 2023, and therefore the results for 2023 reflect only approximately four months of operating activities. As a result, the 2023 figures are not fully comparable to the full-year results for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operated for a full fiscal year and continued to expand our operational infrastructure. The increase in general and administrative expenses was mainly driven by higher consulting and professional service fees, increased investment in information technology systems, office lease arrangements resulting in depreciation of right-of-use assets, expanded workforce costs, and increased business development activities, including overseas travel.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mainly represents net of other income and interest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expenses decreased by $50,301, or 34.8%, from $144,417 for the year ended December 31, 2024, to $94,116 for the year ended December 31, 2025. The decrease in income tax expenses was primarily due to lower taxable income for the year ended December 31, 2025, which was mainly attributable to increased operating expenses associated with business expansion and service delivery.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comparison, our income tax expenses increased by $141,686 or 5,188.1%, from $2,731 for the year ended December 31, 2023 to $144,417 for the year ended December 31, 2024 in line with increase in taxable income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reported a net loss of $153,660 for the year ended December 31, 2025, as compared to a net profit of $852,499 for the year ended December 31, 2024 as the reasons discussed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reported a net income of $852,499 for the year ended December 31, 2024, as compared to a net profit of $32,696 for the year ended December 31, 2023 as the reasons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financed our operations primarily through cash flows from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approximately $5.4 million. We remain debt-free, with no outstanding bank borrowings, positioning us well to fund our ongoing operations and support future growth initiatives without leverage. As of December 31, 2025, our current assets were approximately $6.0 million, and our current liabilities were approximately $1.4 million. As of December 31, 2024, our current assets were $1.8 million, and our current liabilities were $1.2 million. Current ratio increase from approximately 1.5 in 2024 to 4.37 in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view of the current cash and bank balances and funds generated by operating activities, we believe our Company has sufficient resources to meet the working capital needs in the next 12 months from the date the audited financial statements are issued. However, our ability to meet the liquidity and capital requirement will be subject to future economic conditions and other factors which are beyond our control.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declare or pay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cash flows for the years ended December, 2025,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1,622,868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(687,059)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5,587,091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3,989,351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1,365,965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5,426,805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net cash used in operating activities was approximately $0.9 million, which primarily reflected cash outflow from our net loss of $153,660 adjusted for net changes in assets and liabilities of approximately $1 million, which mainly represent a decrease in contract liabilities of approximately $0.6 million and increase in deposits and other receivables of approximately $0.3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net cash provided by operating activities was approximately $1.6 million, which primarily reflected cash inflow from our net income of $0.9 million adjusted for net changes in assets and liabilities of $0.7 million, which mainly represent an increase in contract liabilities of approximately $1.0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net cash provided by operating activities was approximately $64,000, which primarily reflected cash inflow from our net income of $33,000 and net changes in assets and liabilities of approximately $31,000, which mainly represent an increase in accrued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2025, 2024 and 2023 were $687,059, $75,215 and nil respectively, mainly represent cash payment for purchase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financial activities was approximately $5.6 million, which was mainly attributable to payments of offering costs for initial public offering of $1,192,106 net by the proceeds from issuance of shares pursuant to IPO of $6,440,000.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approximately $0.2 million, mainly representing payments made for offering costs related to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not entered any material off-balance sheet transactions and arrangements during the years ended December 31, 2025,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loss contingencies, such as legal proceedings and claims arising out of our business, that cover a wide range of matters, including, among others, government investigations and tax matters. In accordance with ASC No. 450-20, “Loss Contingencies”, we will record accruals for such loss contingencies when it is probable that a liability has been incurred and the amount of loss can be reasonably estimated.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operating leases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960" w:type="dxa"/>
            <w:vAlign w:val="bottom"/>
            <w:tcBorders>
              <w:bottom w:val="single" w:sz="8" w:color="CCEEFF"/>
            </w:tcBorders>
          </w:tcPr>
          <w:p>
            <w:pPr>
              <w:spacing w:after="0"/>
              <w:rPr>
                <w:sz w:val="21"/>
                <w:szCs w:val="21"/>
                <w:color w:val="auto"/>
              </w:rPr>
            </w:pPr>
          </w:p>
        </w:tc>
        <w:tc>
          <w:tcPr>
            <w:tcW w:w="50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487,988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419,359</w:t>
            </w:r>
          </w:p>
        </w:tc>
        <w:tc>
          <w:tcPr>
            <w:tcW w:w="0" w:type="dxa"/>
            <w:vAlign w:val="bottom"/>
          </w:tcPr>
          <w:p>
            <w:pPr>
              <w:spacing w:after="0"/>
              <w:rPr>
                <w:sz w:val="1"/>
                <w:szCs w:val="1"/>
                <w:color w:val="auto"/>
              </w:rPr>
            </w:pPr>
          </w:p>
        </w:tc>
      </w:tr>
      <w:tr>
        <w:trPr>
          <w:trHeight w:val="24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5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419,359</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lease obligations</w:t>
            </w:r>
          </w:p>
        </w:tc>
        <w:tc>
          <w:tcPr>
            <w:tcW w:w="5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2,347,508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(265,896)</w:t>
            </w:r>
          </w:p>
        </w:tc>
        <w:tc>
          <w:tcPr>
            <w:tcW w:w="0" w:type="dxa"/>
            <w:vAlign w:val="bottom"/>
          </w:tcPr>
          <w:p>
            <w:pPr>
              <w:spacing w:after="0"/>
              <w:rPr>
                <w:sz w:val="1"/>
                <w:szCs w:val="1"/>
                <w:color w:val="auto"/>
              </w:rPr>
            </w:pPr>
          </w:p>
        </w:tc>
      </w:tr>
      <w:tr>
        <w:trPr>
          <w:trHeight w:val="237"/>
        </w:trPr>
        <w:tc>
          <w:tcPr>
            <w:tcW w:w="4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 recognized in the consolidated balance sheet</w:t>
            </w:r>
          </w:p>
        </w:tc>
        <w:tc>
          <w:tcPr>
            <w:tcW w:w="506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2,081,612</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0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811"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offices which are classified as operating leases in accordance with Topic 842. As of December 31, 2025, our future lease payments totaled $2,347,508.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we purchased $687,059 $75,215 and nil, respectively, of property and equipment respectively, mainly for use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the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Significant estimates include revenue recognition. Management makes these estimates using the best information available when the calculations are made; however,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Kit Shing, CHEUNG</w:t>
            </w:r>
          </w:p>
        </w:tc>
        <w:tc>
          <w:tcPr>
            <w:tcW w:w="2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tcBorders>
              <w:top w:val="single" w:sz="8" w:color="CCEEFF"/>
            </w:tcBorders>
            <w:shd w:val="clear" w:color="auto" w:fill="CCEEFF"/>
          </w:tcPr>
          <w:p>
            <w:pPr>
              <w:spacing w:after="0"/>
              <w:rPr>
                <w:sz w:val="21"/>
                <w:szCs w:val="21"/>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 and Chairman of the Board of Directors</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Fai, TAM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36"/>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Zhihan, LOU</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2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 DING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37"/>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Yeung Tak, CHEN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Heung Ping WONG</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Kit Shing, CHEUNG </w:t>
      </w:r>
      <w:r>
        <w:rPr>
          <w:rFonts w:ascii="Times New Roman" w:cs="Times New Roman" w:eastAsia="Times New Roman" w:hAnsi="Times New Roman"/>
          <w:sz w:val="18"/>
          <w:szCs w:val="18"/>
          <w:color w:val="auto"/>
        </w:rPr>
        <w:t>is a Director, Chief Executive Officer and Chair of the board of the Company. Mr. Cheung is responsible for the general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overall management of our operations and business expansion. Mr. Cheung has over 7 years of experience in business management. Mr. Cheung joined Etoiles Consultancy in September 2023 and has become our Chief Executive Officer since February 2025. Since 2021, Mr. Cheung has been a project manager and director of Everway Creation Limited. From 2016 to 2021, Mr. Cheung was a senior relation manager of Industrial Bank Co., Ltd. From August 2022 to June 2023, Mr. Cheung was an executive director of Future World Holdings Limited (HKEx: 00572), a company listed on the Stock Exchange of Hong Kong Limited. Mr. Cheung obtained a bachelor’s degree in science from the University of Toronto in 2015.</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Hon Fai, TAM </w:t>
      </w:r>
      <w:r>
        <w:rPr>
          <w:rFonts w:ascii="Times New Roman" w:cs="Times New Roman" w:eastAsia="Times New Roman" w:hAnsi="Times New Roman"/>
          <w:sz w:val="18"/>
          <w:szCs w:val="18"/>
          <w:color w:val="auto"/>
        </w:rPr>
        <w:t>is the Chief Financial Officer of the Company. Mr. Tam has over 18 years of experience in the accounting, financing and auditing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Tam has become our Chief Financial Officer since February 2025. Since April 2023, Mr. Tam has been a company secretary of WK Group (Holdings) Limited (HKEx: 02535), a company listed on the Stock Exchange of Hong Kong Limited. Since June 2020, Mr. Tam has been a director of Marksman Services Group Limited. Since October 2020, Mr. Tam has been a director of IPA CPA Limited. From December 2020 to February 2022, Mr. Tam was a company secretary of Sino Vision Worldwide Holdings Limited, a company formerly listed on the Stock Exchange of Hong Kong. From August 2019 to September 2024, Mr. Tam was an independent non-executive director of China Next-Gen Commerce and Supply Chain Limited (HKEx: 03928), a company listed on the Stock Exchange of Hong Kong Limited. From January 2012 to November 2022, Mr. Tam was an audit partner of CTY &amp; Co., a CPA firm. From September 2006 to August 2011, Mr. Tam worked in the audit department of Deloitte Touche Tohmatsu. Mr. Tam obtained a bachelor’s degree of business administration in accounting from the Hong Kong University of Science and Technology in 2006. Mr. Tam has been a member of the Hong Kong Institute of Certified Public Accountants since January 2010 and is currently a fellow member of the Hong Kong Institute of Certified Public Accountants.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Zhihan, LOU </w:t>
      </w:r>
      <w:r>
        <w:rPr>
          <w:rFonts w:ascii="Times New Roman" w:cs="Times New Roman" w:eastAsia="Times New Roman" w:hAnsi="Times New Roman"/>
          <w:sz w:val="18"/>
          <w:szCs w:val="18"/>
          <w:color w:val="auto"/>
        </w:rPr>
        <w:t>is the Chief Operating Officer of the Company. Mr. Lou has over 5 years of experience in public relations, investor relations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industry. Mr. Lou has become our Chief Operating Officer since February 2025. Since February 2024, Mr. Lou has been the general manager of Etoiles Financial. From October 2023 to February 2024, Mr. Lou served as a consultant of Valuable Capital Limited, a company engaged in strategic consulting. From November 2019 to October 2023, Mr. Lou served as a deputy director of Wonderful Sky Financial Group Limited, a company engaged in initial public offering consultation and financial public relation. Mr. Lou obtained a masters of arts degree in communication from the Hong Kong Baptist University and a bachelor’s degree of broadcasting from the Zhejiang University of Technology in 2017 and 2016,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Qi, DING </w:t>
      </w:r>
      <w:r>
        <w:rPr>
          <w:rFonts w:ascii="Times New Roman" w:cs="Times New Roman" w:eastAsia="Times New Roman" w:hAnsi="Times New Roman"/>
          <w:sz w:val="18"/>
          <w:szCs w:val="18"/>
          <w:color w:val="auto"/>
        </w:rPr>
        <w:t>is an independent director of the Company. Ms. Ding has over 30 years of experience in the financial services industry, with extensive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asset management, securities, investment banking, and commercial banking. Since June 2022, Ms. Ding has been an executive director and a responsible officer (Types 1, 4 and 9) of Huasheng Asset Management Limited. From October 2019 to December 2021, she served as the managing director and a responsible officer (Types 1, 4 and 9) of JX Securities (Hong Kong) Limited. Ms. Ding obtained a bachelor’s degree in international finance from the Central University of Finance and Economics in 1993. She is a holder of Type 1, 4, and 9 licenses issued by the Hong Kong Securities and Futures Commission and possesses senior executive qualifications for fund management in mainland China.</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Yeung Tak, CHEN </w:t>
      </w:r>
      <w:r>
        <w:rPr>
          <w:rFonts w:ascii="Times New Roman" w:cs="Times New Roman" w:eastAsia="Times New Roman" w:hAnsi="Times New Roman"/>
          <w:sz w:val="18"/>
          <w:szCs w:val="18"/>
          <w:color w:val="auto"/>
        </w:rPr>
        <w:t>is an independent director of the Company. Mr. Chen has over 15 years of experience in auditing, accounting, financial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internal control, corporate governance, and company secretarial matters. He graduated from The Hong Kong Polytechnic University with a bachelor’s degree of arts in accountancy in December 2006. He has been a member of the Hong Kong Institute of Certified Public Accountants since January 2011 and was admitted as a fellow in September 2021. Mr. Chen is also a CPA (Practising) registered with the Accounting and Financial Reporting Council. From December 2017 to December 2021, he served as an independent non-executive director of AV Promotions Holdings Limited (HKEx: 8419), a company listed on the Stock Exchange of Hong Kong Limited. He is currently the company secretary of Kingland Group Holdings Limited (HKEx: 1751), a company listed on the Stock Exchange of Hong Kong Limited, and served as its executive director from May 2020 to June 2022. Mr. Chen also serves as an independent non-executive director of DT Capital Limited (HKEx: 356), WEIli Holdings Limited (HKEx: 2372), and Gain Plus Holdings Limited (HKEx: 9900), all of which being companies listed on the Stock Exchange of Hong Kong Limited. Additionally, he has been an independent director of Onion Global Limited, a company formerly listed on the New York Stock Exchange (NYSE: OG) and currently listed on the U.S. OTC Market (OTC: OGBLY) since March 2022.</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Heung Ping WONG </w:t>
      </w:r>
      <w:r>
        <w:rPr>
          <w:rFonts w:ascii="Times New Roman" w:cs="Times New Roman" w:eastAsia="Times New Roman" w:hAnsi="Times New Roman"/>
          <w:sz w:val="18"/>
          <w:szCs w:val="18"/>
          <w:color w:val="auto"/>
        </w:rPr>
        <w:t>is an director of the Company. Mr. Wong as over 18 years of experience in journalism and financial services. Since 2013, Mr. Wong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serving as a senior consultant at AIA International Limited. From 2007 to 2013, Mr. Wong was a senior reporter at the Hong Kong Economic Times. Mr. Wong obtained a Bachelor of Business Administration from Hong Kong Baptist University in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directors or executive officers have a family relationship as defined in Item 401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director appointees or executive officers has, during the past ten years, been involved in any legal proceedings described in subparagraph (f) of Item 401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2024 and 2023, the aggregate cash compensation and benefits that we paid to the executive officers and directors were HK$1,200,000 (approximately US$154,000), HK$1,751,836 (approximately US$224,508) and HK$200,000 (approximately US$25,545), as compensation to our directors and executive officers, as well as an aggregate of HK$36,000 (approximately US$4,600), HK$68,550 (approximately US$8,785) and HK$4,500 (approximately US$575) as contributions by the Operating Subsidiary to the Mandatory Provident Fund (“MPF”), a statutory retirement scheme introduced after the enactment of the Mandatory Provident Fund Schemes Ordinance in Hong Kong,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2025, 2024 and 2023, the aggregate cash compensation and benefits that we paid to the non-executive directors were HK$172,650, (approximately US$22,000), as compensation to our non-executive directors.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our contribution to the MPF, we have not set aside or accrued any amount to provide pension, retirement, or other similar benefits to our directors, executive officers and non-executive directors. We do not have any equity incentive plan in place as of the date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Director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specific time period. We may terminate employment for cause for certain acts of executive officers, such as commission of any serious or persistent breach or non-observance of the terms and conditions of the employment, conviction of a criminal offense, willful disobedience of a lawful and reasonable order, fraud or dishonesty, receipt of bribery, or severe neglect of his or her duties. We may also terminate an executive officer’s employment without cause upon providing three-months advance written notice. An executive officer may resign anytime with a three-month advance written notice.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during his or her employment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customers, or the confidential or proprietary information of any third party received by us and for which we have confidential obligations.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enter into indemnification agreements with each of our directors and executive officers. Under these agreements, we will agree to indemnify our directors and executive officers against certain liabilities and expenses incurred by such person in connection with claims made by reason of their being a director or officer of our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employment agreement with our Chief Executive Officer, Kit Shing, CHEUNG, we agreed that, for a three-year term, unless terminated earlier in accordance with its terms, we will pay Mr. Cheung an annual salary of $153,840. Mr. Cheung will be provided with standard executive benefits. The Company will also provide standard indemnification and directors’ and officers’ insurance. The Company may terminate Mr. Cheung’s employment by giving at least three months’ written notice. All other compensation shall cease as of the date of termination and the Company shall pay all previously earned, accrued and unpaid compensation. Mr. Cheung is also subject to standard confidentiality provision.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employment agreement with our Chief Financial Officer, Hon Fai, TAM, we agreed that, for a three-year term, unless terminated earlier in accordance with its terms, we will pay Mr. Tam an annual salary of $36,000. Mr. Tam will be provided with standard executive benefits. The Company will also provide standard indemnification and directors’ and officers’ insurance. The Company may terminate Mr. Tam’s employment by giving at least three months’ written notice. All other compensation shall cease as of the date of termination and the Company shall pay all previously earned, accrued and unpaid compensation. Mr. Tam is also subject to standard confidentiality provision.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employment agreement with our Chief Operating Officer, Zhihan, LOU, we agreed that, for a three-year term, unless terminated earlier in accordance with its terms, we will pay Mr. Lou an annual salary of nil. Mr. Lou will be provided with standard executive benefits. The Company will also provide standard indemnification and directors’ and officers’ insurance. The Company may terminate Mr. Lou’s employment by giving at least three months’ written notice. All other compensation shall cease as of the date of termination and the Company shall pay all previously earned, accrued and unpaid compensation. Mr. Lou is also subject to standard confidentiality provision.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Agreements with independent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director offer letters with each of our independent directors which agreements set forth the terms and provisions of their engagement.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adopted any equity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2024 and 2023, we had no outstanding equity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4 Directors, comprising 1 executive Directors and 3 independent Directors. A director is not required to hold any shares in our Company to qualify to serve as a director.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of the nature of a director’s interest shall be sufficient disclosure and after such general notice it shall not be necessary to give special notice relating to any particular transaction. A director may be counted for a quorum upon a motion in respect of any contract or arrangement which he shall make with our company, or in which he is so interested and may vote on such motion.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of an Audit Committee, a Compensation Committee and a Nominating Committee. Even though we are exempted from corporate governance standards because we are a foreign private issuer, we have voluntarily adopted a charter for each of the three committees. Each committee’s members and functions are described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consists of Ms. Qi, DING, Mr. Heung Ping WONG, and Mr. Yeung Tak, CHEN. Mr. Yeung Tak, CHEN is be the chairperson of our audit committee. The audit committee will oversee our accounting and financial reporting processes and the audits of the financial statements of our company. The audit committee will be responsible for, among other things:</w:t>
      </w:r>
    </w:p>
    <w:p>
      <w:pPr>
        <w:spacing w:after="0" w:line="176"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Ms. Qi, DING, Mr. Heung Ping WONG, Ms. Qi, DING is the chairperson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We have determined that each of our compensation committee members satisfies the “independence” requirements of Rule 5605(a)(2) of the Nasdaq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8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Ms. Qi, DING, Mr. Heung 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WONG, and Mr. Yeung Tak, CHEN., Mr. Heung Ping WONG is the chairperson of our nominating and corporate governance committee. We have determined that each of our nominating and corporate governance committee members satisfies the “independence” requirements of Rule 5605(a)(2) of the Nasdaq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8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in regard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These include, among others (i) duty to act in good faith in what the director believes to be in the best interests of the company as a whole; (ii) duty to exercise powers for the purposes for which those powers were conferred and not for a collateral purpose; (iii) directors should not improperly fetter the exercise of future discretion; (iv) duty not to put themselves in a position in which there is a conflict between their duty to the company and their personal interests; and (v) duty to exercise independent judgment. In addition to the above, our directors also owe a duty to act with skill, care and diligence.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may receive such remuneration as our board of directors may determine from time to time. The compensation committee will assist the directors in reviewing and approving the compensation structure for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membership qualifications for directors. Further, there are no share ownership qualifications for directors. There are no other arrangements or understandings pursuant to which our directors are selected or nominated.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by our board of directors, who will make decisions by voting on resolutions of directors. Our directors are free to meet at such times and in such manner and places within or outside the Cayman Islands as the directors determine to be necessary or desirable. At any meeting of directors, the quorum for the transaction of business shall be one unless the directors fix some other number. An action that may be taken by the directors at a meeting may also be taken by a resolution of directors consented to in writing by all of the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Operating Subsidiaries employed a total of 24 full-time employees, as of December 31, 2025. The following table sets forth a breakdown of our employees by function: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Employees</w:t>
            </w: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Functional Area</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Relationship</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Administration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that we have maintained a good relationship with our employees and have not experienced any significant disputes with our employees or any disruption to our operations due to any labor disputes. In addition, we have not experienced any difficulties in the recruitment and retention of experienced core staff or skilled personnel.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remuneration package includes salary and discretionary bonuses. In general, we determine employees’ salaries based on their qualifications, position and seniority. In order to attract and retain valuable employees, we review the performance of our employees annually which will be taken into account in annual salary review and promotion appraisal.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Ordinary Shares and Class B Ordinary Shares as of the date of this annual report by our officers, Directors, and 5% or greater beneficial owners of our Class A Ordinary Shares and Class B Ordinary Shares. There is no other person or group of affiliated persons known by us to beneficially own more than 5% of our Class A Ordinary Shares and Class B Ordinary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Class A Ordinary Shares are entitled to one (1) vote per share and holders of our Class B Ordinary Shares are entitled to ten (10) votes per share. In no event shall Class A Ordinary Shares be convertible into Class B Ordinary Shares. Each Class B Ordinary Share is convertible into one fully paid Class A Ordinary Share at the option of the holder, at any time after issue and without the payment of any additional sum.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As of the date of this annual report, the percentage of Shares beneficially owned is based on 20,110,000 Ordinary Shares, consisting of 15,110,000 Class A Ordinary Shares and 5,000,000 Class B Ordinary Shares outstanding. None of the shareholders are located in the United States. We do not have any options or warrants that are outstanding. Unless otherwise indicated, the person identified in this table has sole voting and investment power with respect to all shares shown as beneficially owned by him, subject to applicable community property laws.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Class B Ordinary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Shares Beneficially</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63"/>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center"/>
              <w:ind w:left="670"/>
              <w:spacing w:after="0" w:line="256" w:lineRule="exact"/>
              <w:rPr>
                <w:sz w:val="20"/>
                <w:szCs w:val="20"/>
                <w:color w:val="auto"/>
              </w:rPr>
            </w:pPr>
            <w:r>
              <w:rPr>
                <w:rFonts w:ascii="Times New Roman" w:cs="Times New Roman" w:eastAsia="Times New Roman" w:hAnsi="Times New Roman"/>
                <w:sz w:val="18"/>
                <w:szCs w:val="18"/>
                <w:b w:val="1"/>
                <w:bCs w:val="1"/>
                <w:color w:val="auto"/>
                <w:w w:val="92"/>
              </w:rPr>
              <w:t>Owned</w:t>
            </w:r>
            <w:r>
              <w:rPr>
                <w:rFonts w:ascii="Times New Roman" w:cs="Times New Roman" w:eastAsia="Times New Roman" w:hAnsi="Times New Roman"/>
                <w:sz w:val="29"/>
                <w:szCs w:val="29"/>
                <w:b w:val="1"/>
                <w:bCs w:val="1"/>
                <w:color w:val="auto"/>
                <w:w w:val="92"/>
                <w:vertAlign w:val="superscript"/>
              </w:rPr>
              <w:t>(2)</w:t>
            </w:r>
          </w:p>
        </w:tc>
        <w:tc>
          <w:tcPr>
            <w:tcW w:w="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Borders>
              <w:bottom w:val="single" w:sz="8" w:color="auto"/>
            </w:tcBorders>
            <w:gridSpan w:val="3"/>
          </w:tcPr>
          <w:p>
            <w:pPr>
              <w:jc w:val="center"/>
              <w:ind w:left="630"/>
              <w:spacing w:after="0" w:line="256" w:lineRule="exact"/>
              <w:rPr>
                <w:sz w:val="20"/>
                <w:szCs w:val="20"/>
                <w:color w:val="auto"/>
              </w:rPr>
            </w:pPr>
            <w:r>
              <w:rPr>
                <w:rFonts w:ascii="Times New Roman" w:cs="Times New Roman" w:eastAsia="Times New Roman" w:hAnsi="Times New Roman"/>
                <w:sz w:val="18"/>
                <w:szCs w:val="18"/>
                <w:b w:val="1"/>
                <w:bCs w:val="1"/>
                <w:color w:val="auto"/>
                <w:w w:val="92"/>
              </w:rPr>
              <w:t>Owned</w:t>
            </w:r>
            <w:r>
              <w:rPr>
                <w:rFonts w:ascii="Times New Roman" w:cs="Times New Roman" w:eastAsia="Times New Roman" w:hAnsi="Times New Roman"/>
                <w:sz w:val="29"/>
                <w:szCs w:val="29"/>
                <w:b w:val="1"/>
                <w:bCs w:val="1"/>
                <w:color w:val="auto"/>
                <w:w w:val="92"/>
                <w:vertAlign w:val="superscript"/>
              </w:rPr>
              <w:t>(2)</w:t>
            </w:r>
          </w:p>
        </w:tc>
        <w:tc>
          <w:tcPr>
            <w:tcW w:w="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50"/>
        </w:trPr>
        <w:tc>
          <w:tcPr>
            <w:tcW w:w="46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Name of Beneficial Owners</w:t>
            </w:r>
            <w:r>
              <w:rPr>
                <w:rFonts w:ascii="Times New Roman" w:cs="Times New Roman" w:eastAsia="Times New Roman" w:hAnsi="Times New Roman"/>
                <w:sz w:val="28"/>
                <w:szCs w:val="28"/>
                <w:b w:val="1"/>
                <w:bCs w:val="1"/>
                <w:color w:val="auto"/>
                <w:vertAlign w:val="superscript"/>
              </w:rPr>
              <w:t>(1)</w:t>
            </w: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17"/>
                <w:szCs w:val="17"/>
                <w:b w:val="1"/>
                <w:bCs w:val="1"/>
                <w:color w:val="auto"/>
                <w:w w:val="96"/>
              </w:rPr>
              <w:t>Power</w:t>
            </w:r>
            <w:r>
              <w:rPr>
                <w:rFonts w:ascii="Times New Roman" w:cs="Times New Roman" w:eastAsia="Times New Roman" w:hAnsi="Times New Roman"/>
                <w:sz w:val="28"/>
                <w:szCs w:val="28"/>
                <w:b w:val="1"/>
                <w:bCs w:val="1"/>
                <w:color w:val="auto"/>
                <w:w w:val="96"/>
                <w:vertAlign w:val="superscript"/>
              </w:rPr>
              <w:t>(2)</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Kit Shing, CHEUNG</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10,287,000</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Fai, TAM</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Zhihan, LOU</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 DING</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Heung Ping WONG</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10,287,000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Etoiles Zeneo Investment Limited</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10,287,000</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none of our outstanding Shares are held by record holders in the United States.</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Unit 03-04, 25/F, Cosco Tower, 183 Queen’s Road Central, Sheung Wan, Hong Kong.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of ownership is based on 20,110,000 Ordinary Shares, consisting of 15,110,000 Class A Ordinary Shares and 5,000,000 Class B Ordinary Shares outstanding of the date of this annual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10,287,000 Class A Ordinary Shares and 5,000,000 Class B Ordinary Shares owned by Etoiles Zeneo Investment Limited, which entities are all wholly-owned by Mr. Kit Shing, CHEUNG. Therefore, Mr. Kit Shing, CHEUNG has the voting and dispositive control over the shares held by each of these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 M</w:t>
      </w:r>
      <w:r>
        <w:rPr>
          <w:rFonts w:ascii="Times New Roman" w:cs="Times New Roman" w:eastAsia="Times New Roman" w:hAnsi="Times New Roman"/>
          <w:sz w:val="12"/>
          <w:szCs w:val="12"/>
          <w:b w:val="1"/>
          <w:bCs w:val="1"/>
          <w:color w:val="auto"/>
        </w:rPr>
        <w:t>ajor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related party transactions of our company that occurred during the past three fiscal years up to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Balances with related parties</w:t>
      </w:r>
    </w:p>
    <w:p>
      <w:pPr>
        <w:spacing w:after="0" w:line="225"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(to) due from a director</w:t>
      </w:r>
    </w:p>
    <w:p>
      <w:pPr>
        <w:spacing w:after="0" w:line="23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19685</wp:posOffset>
            </wp:positionV>
            <wp:extent cx="24860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7760"/>
        <w:spacing w:after="0"/>
        <w:tabs>
          <w:tab w:leader="none" w:pos="9040" w:val="left"/>
          <w:tab w:leader="none" w:pos="1038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7880" w:val="left"/>
          <w:tab w:leader="none" w:pos="8660" w:val="left"/>
          <w:tab w:leader="none" w:pos="924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Mr. Kit Shing, CHEUNG</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(39,392)</w:t>
        <w:tab/>
        <w:t>$</w:t>
      </w:r>
      <w:r>
        <w:rPr>
          <w:sz w:val="20"/>
          <w:szCs w:val="20"/>
          <w:color w:val="auto"/>
        </w:rPr>
        <w:tab/>
      </w:r>
      <w:r>
        <w:rPr>
          <w:rFonts w:ascii="Times New Roman" w:cs="Times New Roman" w:eastAsia="Times New Roman" w:hAnsi="Times New Roman"/>
          <w:sz w:val="18"/>
          <w:szCs w:val="18"/>
          <w:color w:val="auto"/>
        </w:rPr>
        <w:t>309,507</w:t>
      </w:r>
    </w:p>
    <w:p>
      <w:pPr>
        <w:spacing w:after="0" w:line="225" w:lineRule="exact"/>
        <w:rPr>
          <w:sz w:val="20"/>
          <w:szCs w:val="20"/>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advanced to (by) a director. Amount due (to) from a director is non-trade, unsecured, non-interest bearing and repayable on demand.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Salaries paid related parties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Salary paid to a related party:</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Mr. Kit Shing, CHEUNG </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151,624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153,787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25,545</w:t>
            </w:r>
          </w:p>
        </w:tc>
      </w:tr>
      <w:tr>
        <w:trPr>
          <w:trHeight w:val="39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Ms. On Ki CHEUNG </w:t>
            </w:r>
            <w:r>
              <w:rPr>
                <w:rFonts w:ascii="Times New Roman" w:cs="Times New Roman" w:eastAsia="Times New Roman" w:hAnsi="Times New Roman"/>
                <w:sz w:val="29"/>
                <w:szCs w:val="29"/>
                <w:color w:val="auto"/>
                <w:vertAlign w:val="superscript"/>
              </w:rPr>
              <w:t>(b)</w:t>
            </w: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74,654</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32,039</w:t>
            </w: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01"/>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Rental expenses paid to a related party:</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Mr. Kit Shing CHEUNG </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2025, the Company entered into a lease agreement with a director, Mr. Kit Shing CHEUNG, pursuant to which the Company leases a property to be used as a clubhouse for corporate and client engagement purposes.</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commenced on August 1, 2025 and will expire on December 31, 2030. The lease was reviewed and approved by the independent and non-conflict members of the Board of Directors. The monthly rent is $34,917 was determined with reference to prevailing market rates for comparable commercial properties and represents, in management’s assessment, a fair market rate for the premises. The lease provides for a rent-free period from August 1, 2025, to December 31, 2025 to allow for renovation and interior decoration of the premise. Accordingly, no rental payments were made during this rent-free period.</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clubhouse is currently undergoing renovation and interior decoration. As of December 31, 2025, the property was not yet ready for use and had not commenced operations. The up-front payment of $524,199 is recognized as construction in progress as of December 31, 2025. The Company expects the clubhouse to be completed and ready to provide services in February 2026.</w:t>
      </w:r>
    </w:p>
    <w:p>
      <w:pPr>
        <w:spacing w:after="0" w:line="176"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Kit Shing, CHEUNG is the director, Chief Executive Officer and a principal shareholder of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On Ki, CHEUNG, is a close family member of a director, Mr. Kit Shing, CHEUNG.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Etoiles Cayman and its subsidiaries had not been involved in any legal proceedings, investigations, claims nor had we been aware of any pending or threatened litigation, arbitration or other claims, which would have a material adverse impact on the operations, financial position and reputation of our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2024 and 2023 and up to the date of this annual report, no transfers, dividends or distributions have been made by Etoiles Cayman, Zynergy BVI, Etoiles Consultancy, Etoiles Financial, Etoiles Vision and Etoiles Original. We intend to retain all available funds and future earnings, if any, for operation and business development, however, we may pay dividends on our Class A Ordinary Shares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declaration, amount and payment of any future dividends will be at the sole discretion of our board of directors, subject to compliance with applicable Cayman Islands laws regarding solvency. Our board of directors will take into account general economic and business conditions, our financial condition and results of operations, our available cash and current and anticipated cash needs, capital requirements, contractual, legal, tax and regulatory restrictions and other implications on the payment of dividends by us to our shareholders or by our subsidiaries to us, and such other factors as our board of directors may deem relevant. In addition, our shareholders may by ordinary resolution declare a dividend, but no dividend may exceed the amount recommended by our board of directors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Cayman Islands law, our board of directors may authorize payment of a dividend to shareholders at such time and of such an amount out of profits or our share premium account, if shares have been issued at a premium. No dividend may be paid out of our share premium account unless immediately following the payment we are able to pay our debts as they fall due in the ordinary course of business. Subject to compliance with applicable solvency requirements, there is no further Cayman Islands statutory restriction on the amount of funds which may be distributed by us by dividend.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are a holding company, we rely on dividends paid to us by our subsidiaries for our cash requirements, including funds to pay any dividends and other cash distributions to our shareholders, service any debt we may incur and pay our operating expenses. Our ability to pay dividends to our shareholders will depend on, among other things, the availability of dividends from our Hong Kong Operating Subsidiary and Etoiles Financial.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if any, on our Class A Ordinary Shares will be paid in U.S. dollars or HK Dollar.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exempted company, we are not subject to any income, withholding or capital gains taxes in the Cayman Islands. Our shareholders will not be subject to any income, withholding or capital gains taxes in the Cayman Islands with respect to their shares and dividends received on those shares, nor will they be subject to any estate or inheritance taxes in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“EFTY.”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“EFTY.”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Second Amended And Restated Memorandum and Articles of Association, as currently in effect and filed as Exhibit 1.1 to this annual report, and the description of our securities filed as Exhibit 2.1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Cayman Islands, British Virgin Islands, Hong Kong and Singapore currently have no exchange control regulations or currency restrictions.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foreign currency regulations of Mainland China do not currently have any material impact on the transfer of cash between Acco and our Hong Kong subsidiaries. However, the PRC government may impose controls on the conversion of RMB into foreign currencies and the remittance of currencies out of the PRC. Therefore, there is a possibility that certain PRC laws and regulations, including existing laws and regulations and those enacted or promulgated in the future were to become applicable to our Hong Kong subsidiaries in the future, and the PRC government may prevent our cash maintained in Hong Kong from leaving or restrict the deployment of the cash into our business or for the payment of dividends in the future. See “Item 3.D. Risk Factors- Risks relating to our Corporate Structure- </w:t>
      </w:r>
      <w:r>
        <w:rPr>
          <w:rFonts w:ascii="Times New Roman" w:cs="Times New Roman" w:eastAsia="Times New Roman" w:hAnsi="Times New Roman"/>
          <w:sz w:val="18"/>
          <w:szCs w:val="18"/>
          <w:i w:val="1"/>
          <w:iCs w:val="1"/>
          <w:color w:val="auto"/>
        </w:rPr>
        <w:t>We rely on dividends and other distributions on equity paid by our subsidiaries to fund any cash and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we may have. In the future, funds may not be available to fund operations or for other uses outside of Hong Kong, due to interventions in, or the imposition of restrictions and limitations on, our ability or our subsidiary by the PRC government to transfer cash. Any limitation on the ability of our subsidiaries to make payments to us could have a material adverse effect on our ability to conduct our business and might materially decrease the value of our Ordinary Shares or cause them to be worthless</w:t>
      </w:r>
      <w:r>
        <w:rPr>
          <w:rFonts w:ascii="Times New Roman" w:cs="Times New Roman" w:eastAsia="Times New Roman" w:hAnsi="Times New Roman"/>
          <w:sz w:val="18"/>
          <w:szCs w:val="18"/>
          <w:color w:val="auto"/>
        </w:rPr>
        <w:t>.”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(2021 Revision)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taxation of income and capital gains of holders of Ordinary Shares is subject to the laws and practices of Hong Kong and of jurisdictions in which holders of Ordinary Shares are resident or otherwise subject to tax. The following summary of certain relevant taxation provisions under Hong Kong law is based on current law and practice, is subject to changes therein and does not constitute legal or tax advice. The discussion does not deal with all possible tax consequences relating to an investment in the Ordinary Shares. Accordingly, each prospective investor (particularly those subject to special tax rules, such as banks, dealers, insurance companies, tax-exempt entities and holders of 10% or more of our voting capital stock) should consult its own tax advisor regarding the tax consequences of an investment in the Ordinary Shares. The discussion is based upon laws and relevant interpretations thereof in effect as of the date of this annual report, all of which are subject to change. There is no reciprocal tax treaty in effect between Hong Kong and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practices of the Hong Kong Inland Revenue Department, no tax is payable in Hong Kong in respect of dividends paid by us as a company incorporated in British Virgin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Tax</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tax is imposed in Hong Kong in respect of capital gains from the sale of property (such as the Ordinary Shares). Trading gains from the sale of property by persons carrying on a trade, profession or business in Hong Kong where such gains are derived from or arise in Hong Kong from such trade, profession or business will be chargeable to Hong Kong profits tax. According to the Inland Revenue (Amendment) (No. 3) Ordinance 2018, the two-tiered profits tax rates regime is introduced with effect from the year of assessment 2018/19. The profits tax rate for the first HKD2 million of assessable profits will be lowered to 8.25% for corporations and 7.5% for unincorporated businesses. Assessable profits above HKD2 million will continue to be subject to the rate of 16.5% for corporations and standard rate of 15% for unincorporated businesses. Liability for Hong Kong profits tax may thus arise in respect of trading gains from sales of Ordinary Shares realized by persons carrying on a business or trading or dealing in securities in Hong Kong.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by a U.S. Holder (as defined below) that acquires our Ordinary Shares and holds our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certain net investment income, information reporting or backup withholding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8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other tax-deferred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their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Ordinary Shares (by vote or value);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the Ordinary Shares through such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U.S. persons who have the authority to control all substantial decisions of the trust, or (ii) that has otherwise validly elected to be treated as a U.S. person under the Code.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An individual is considered a resident of the United States for federal income tax purposes if he or she meets either the “Green Card Test” or the “Substantial Presence Test” described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Presence Test: If an alien is present in the United States on at least 31 days of the current calendar year, he or she will (absent an applicable exception) be classified as a resident alien if the sum of the following equals 183 days or more (See §7701(b)(3)(A) of the Internal Revenue Code and related Treasury Regulations):</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days in the United States in the current year; plus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his or her days in the United States in the immediately preceding year; plus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One-sixth of his or her days in the United States in the second preceding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our initial public offering, and projections as to the market price of our Ordinary Shares,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Ordinary Shares may cause us to be a PFIC for the current or future taxable years because the value of our assets for purposes of the asset test, including the value of our goodwill and unbooked intangibles, may be determined by reference to the market price of our Ordinary Shares from time to time (which may be volatile). In estimating the value of our goodwill and other unbooked intangibles, we have taken into account our anticipated market capitalization immediately following the close of our initial public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the initial public offering.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Ordinary Shares, we generally will continue to be treated as a PFIC for all succeeding years during which such U.S. Holder holds our Ordinary Shares unless, in such case, we cease to be treated as a PFIC and such U.S. Holder makes a “purging election”.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To the extent that the amount of the distribution exceeds our current or accumulated earnings and profits (as determined under U.S. federal income tax principles), it will be treated first as a tax-free return of your tax basis in your Ordinary Shares, and to the extent that the amount of the distribution exceeds your tax basis, the excess will be taxed as capital gain. Because we do not intend to determine our earnings and profits on the basis of U.S. federal income tax principles, any distribution we pay will generally be treated as a “dividend” for U.S. federal income tax purposes. Therefore, a U.S. Holder should expect that a distribution will be treated as a dividend even if that distribution would otherwise be treated as a non-taxable return of capital or as capital gain under the rules described above. Dividends received on our Ordinary Shares will not be eligible for the dividends received deduction allowed to corporations in respect of dividends-received from U.S. corporations.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Ordinary Shares on which the dividends are paid are readily tradable on an established securities market in the United States, or we are eligible for the benefits of an approved qualifying income tax treaty with the United States that includes an exchange of information program, (ii) we are neither a PFIC nor treated as such with respect to a U.S. Holder for the taxable year in which the dividend is paid and the preceding taxable year, and (iii) certain holding period requirements are met. Because there is no income tax treaty between the United States and the Cayman Islands, clause (i) above can be satisfied only if the Ordinary Shares are readily tradable on an established securities market in the United States. We intend to list the Ordinary Shares on Nasdaq. Provided that this listing is approved, we believe that the Ordinary Shares should generally be considered to be readily tradable on an established securities market in the United States. There can be no assurance that the Ordinary Shares will continue to be considered readily tradable on an established securities market in later years. U.S. Holders are urged to consult their tax advisors regarding the availability of the lower rate for dividends paid with respect to the Ordinary Shares, including the effects of any change in law after the date of this annual report.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foreign tax credit purposes, dividends paid on our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Ordinary Shares in an amount equal to the difference between the amount realized upon the disposition and the holder’s adjusted tax basis in such Ordinary Shares. Such gain or loss will generally be capital gain or loss. Any such capital gain or loss will be long term if the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Ordinary Shares, including the applicability of any tax treaty and the availability of the foreign tax credit under its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including, under certain circumstances, a pledge, Ordinary Shares. Under the PFIC rules:</w:t>
      </w:r>
    </w:p>
    <w:p>
      <w:pPr>
        <w:spacing w:after="0" w:line="18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under Section 1296 of the U.S. Internal Revenue Code with respect to such stock to elect out of the tax treatment discussed above. If a U.S. Holder makes this election with respect to our Ordinary Shares for first taxable year which they hold (or are deemed to hold) Ordinary Shares and for which we are determined to be a PFIC, the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net amount of gains previously included in income as a result of the mark-to-market election. The U.S. Holder’s adjusted tax basis in the Ordinary Shares would be adjusted to reflect any income or loss resulting from the mark-to-market election. If a U.S. Holder makes a mark-to-market election in respect of our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Our Ordinary Shares will be treated as marketable stock upon their listing on Nasdaq. We anticipate that our Ordinary Shares should qualify as being regularly traded, but no assurances may be given in this regard.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intend to provide information necessary for U.S. Holders to make qualified electing fund elections which, if available, would result in tax treatment different from (and generally less adverse than) the general tax treatment for PFICs described above. Therefore, prospective investors should assume that a qualified electing fund election will not be available.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do not make a timely “mark-to-market” election (as described above), and if we were a PFIC at any time during the period you hold our Ordinary Shares, then such Ordinary Shares will continue to be treated as stock of a PFIC with respect to you even if we cease to be a PFIC in a future year, unless you make a “purging election” for the year we cease to be a PFIC. A “purging election” creates a deemed sale of such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Ordinary Shares on the last day of the last year in which we are treated as a PFIC) and holding period (which new holding period will begin the day after such last day) in your Ordinary Shares for tax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Internal Revenue Code Section 1014(a) provides for a step-up in basis to the fair market value for our Ordinary Shares when inherited from a decedent that was previously a holder of our Ordinary Shares. However, if we are determined to be a PFIC and a decedent that was a U.S. Holder did not make either a timely qualified electing fund election for our first taxable year as a PFIC in which the U.S. Holder held (or was deemed to hold) our Ordinary Shares, or a mark-to-market election and ownership of those Ordinary Shares are inherited, a special provision in Internal Revenue Code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Ordinary Shares from a U.S. Holder to not get a step-up in basis under Section 1014 and instead will receive a carryover basis in those Ordinary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(regardless of whether they make a mark-to-market election as described above), the holder must generally file an annual IRS Form 8621. The failure to file IRS Form 8621 could result in the imposition of penalties and the extension of the statute of limitations with respect to U.S. federal income tax. You should consult your tax advisor regarding the application of the PFIC rules to your investment in our Ordinary Shares and the elections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 our Ordinary Shares may be subject to information reporting to the Internal Revenue Service and possible United States backup withholding at a current flat rate of 24%. Backup withholding will not apply, however, to a U.S. Holder who furnishes a correct taxpayer identification number and makes any other required certification on Internal Revenue Service Form W-9 or who is otherwise exempt from backup withholding. U.S. Holders who are required to establish their exempt status generally must provide such certification on Internal Revenue Service Form W-9. U.S. Holders are urged to consult their tax advisors regarding the application of the U.S. information reporting and backup withholding rules.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our Ordinary Shares, subject to certain exceptions (including an exception for Ordinary Shares held in accounts maintained by certain financial institutions), by attaching a complete Internal Revenue Service Form 8938, Statement of Specified Foreign Financial Assets, with their tax return for each year in which they hold Ordinary Shares. In addition, certain U.S. Holders must file a U.S. Internal Revenue Service Form 926 to report the contribution of property (including cash) to a foreign corporation. Failure to report such information could result in substantial penalties.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reporting requirements is not exhaustive, and you should consult your own tax advisor regarding your obligation to file a Form 8938, Form 926 or other applicable forms as a result of an investment in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the Public Reference Room at 100 F Street, N.E., Washington, D.C. 20549. You may obtain information on the operation of the Public Reference Room by calling the SEC at 1-800-SEC-0330. The SEC also maintains a web site at http://www.sec.gov that contains reports and other information regarding registrants that file electronically with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11. 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Hong Kong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 of revenue, selling expenses and general and administrative expenses,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from our products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rate that our deposited cash can earn, on the other hand, interest-earning instruments carry a degree of interest rate risk. In addition, we are exposed to variable interest rate risk principally from our existing Hong Kong dollars denominated bank borrowings. An increase will raise the cost of those debts.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reporting currency is the U.S. dollar, the majority of our consolidated revenues, costs, and expenses are denominated in Hong Kong dollars. Most of our assets are also held in Hong Kong dollars. As a result, we are exposed to foreign exchange risk, as fluctuations in the exchange rates between the U.S. dollar and Hong Kong dollar can impact our revenues and operating results. If the Hong Kong dollar depreciates against the U.S. dollar, the value of our revenues, earnings, and assets, as expressed in our U.S. dollar financial statements, will decline. Currently, we have not entered into any hedging transactions to mitigate this foreign exchange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12.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13.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rrearages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defaults in the payment of principal, interest, or any installments under a sinking or purchase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14.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odifications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14.A. – 14.D. Material Modifications to the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period from August 8, 2025, the date that the Company’s Registration Statement on Form F-1 (File Number: 333-287302) relating to the initial public offering was declared effective by the SEC, to the date of this annual report, out of the net proceeds of approximately US$5.1 million received from the initial public offering, we used (i) approximately US$0.4 million for strengthening our integrated investor relation services in Hong Kong; (ii) approximately US$0.1 million for expanding our market presence; (iii) nil for incorporate latest technology and trends into our service offerings; (iv) approximately US$0.2 for enhancing our brand; and (v) approximately US$1.2 million for general administration and working capital. There is no material change in the use of proceeds as described in the Registration Statement. We intend to use the remainder of the proceeds from the initial public offering for the purposes as disclosed in our registration statements on Form F-1.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15. 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Based on that evaluation, our chief executive officer and chief financial officer concluded that, as of December 31, 2025, our disclosure controls and procedures were ineffective.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for the years ended December 31</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2025, 2024 and 2023, we identified material weaknesses in our internal control over financial reporting as well as other disclosure control deficiencies for the above-mentioned periods. Our independent registered public accounting firm has not conducted an audit of our internal control over financial reporting. As defined in the standards established by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weaknesses identified are related to (i) inadequate segregation of duties for certain key functions due to limited staff and resources; and (ii) a lack of independent directors and an audit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remediate our identified material weaknesses, we have implemented several measures to improve our internal control over financial reporting to address the underlying causes of these material weaknesses, including (i) hiring more qualified staff to fill up the key roles in the operations; (ii) appointing independent directors; (iii) establishing an audit committee; and (iv) strengthening our corporate governance.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See “Item 3. Key Information — 3.D. Risk Factors — Risks Related to our Business and Operations —Any lack of effective internal controls over financial reporting may affect our ability to accurately report our financial results which may affect the market for and price of our Ordinary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company with less than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those disclosed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16A.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will consist of Ms. Qi, DING, Mr. Heung Ping WONG, and Mr. Yeung Tak, CHEN. Mr. Yeung Tak, CHEN is chairman of our audit committee. Ms. Qi, DING and Mr. Heung Ping WONG each satisfies the “independence” requirements of Rule 5605 of the Corporate Governance Rules of Nasdaq Stock Market and meets the independence standards under Rule 10A-3 under the Exchange Act. Mr. Yeung Tak, CHEN qualifies as an “audit committee financial expert.”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16B. 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 Code of Ethics and Business Conduct that applies to the Company’s directors, officers, employees and advisors.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16C.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SRCO, C.P.A., Professional Corporation Assurance PAC., our independent registered public accounting firm,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 Fees - SRCO, C.P.A., Professional Corporation Assurance PAC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840" w:type="dxa"/>
            <w:vAlign w:val="bottom"/>
          </w:tcPr>
          <w:p>
            <w:pPr>
              <w:spacing w:after="0"/>
              <w:rPr>
                <w:sz w:val="20"/>
                <w:szCs w:val="20"/>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 the aggregate fees billed for assurance and related services by our principal auditors that are reasonably related to the performance of the audit or review of our financial statements and are not reported as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refer to the fees not covered in (1) and (2)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the minimum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16G.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listed on the Nasdaq Capital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Currently, we do not plan to rely on home country practice with respect to our corporate governance. However, to the extent we choose to follow home country practice in the future, our shareholders may be afforded less protection than they otherwise would under the Nasdaq corporate governance listing standards applicable to U.S. domestic issuers. See “Item 3. Key Information — 3.D. Risk Factors —Risks Related to Our Ordinary Shares— </w:t>
      </w:r>
      <w:r>
        <w:rPr>
          <w:rFonts w:ascii="Times New Roman" w:cs="Times New Roman" w:eastAsia="Times New Roman" w:hAnsi="Times New Roman"/>
          <w:sz w:val="18"/>
          <w:szCs w:val="18"/>
          <w:i w:val="1"/>
          <w:iCs w:val="1"/>
          <w:color w:val="auto"/>
        </w:rPr>
        <w:t>As a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“controlled company” exception to Nasdaq’s rules provides that a company of which more than 50% of the voting power is held by an individual, group or another company, a “controlled company” need not comply with certain requirements of Nasdaq’s corporate governance rules. As of the date of this annual report, our Controlling Shareholder is the beneficial owners of an aggregate of 10,287,000 Class A Ordinary Shares and 5,000,000 Class B Ordinary Shares, respectively, which will represent an aggregate of 92.59% of the total voting power, among which 15.80% of the voting power stem from its 10,287,000 Class A Ordinary Shares and 76.79% of the voting power stem from its 5,000,000 Class B Ordinary Shares. Accordingly, we are a “controlled company” within the meaning of the corporate governance standards of Nasdaq. Under Nasdaq rules, a “controlled company” may elect not to comply with certain Nasdaq corporate governance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“controlled company,” we may elect not to comply with certain corporate governance standards, including that a majority of our board of directors consist of independent directors. For so long as we qualify as a controlled company, we may take advantage of these exemptions. Accordingly, our shareholders may not have the same protections afforded to shareholders of companies that are subject to all of these corporate governance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cease to be a “foreign private issuer” under the rules of Nasdaq and cease to be a “controlled company” and our Ordinary Shares continue to be listed on Nasdaq, the Company’s Board of Directors will take all action necessary to comply with the corporate governance rules of Nasdaq, including but not limited to, establishing certain committees composed entirely of independent directors, subject to a permitted “phase-in”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Company’s status as a foreign private issuer or a controlled company, the Company will remain subject to the corporate governance standard of Nasdaq that requires the Company to have an audit committee with at least three independent directors as well as composed entirely of independent directors. For purposes of the audit committee composition requirements, we must have at least one independent director on our audit committee at the time of listing, at least two independent directors within 90 days of listing and at least three independent directors within one year of listing, where at least one of the independent directors qualifies as an audit committee financial expert under SEC rules and as a financially sophisticated audit committee member under the Nasdaq rule.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16H. M</w:t>
      </w:r>
      <w:r>
        <w:rPr>
          <w:rFonts w:ascii="Times New Roman" w:cs="Times New Roman" w:eastAsia="Times New Roman" w:hAnsi="Times New Roman"/>
          <w:sz w:val="12"/>
          <w:szCs w:val="12"/>
          <w:b w:val="1"/>
          <w:bCs w:val="1"/>
          <w:color w:val="auto"/>
        </w:rPr>
        <w:t>ine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afety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16I.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urisdictions that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nspections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16J.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insider trading policies is attached as an exhibit to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16K. C</w:t>
      </w:r>
      <w:r>
        <w:rPr>
          <w:rFonts w:ascii="Times New Roman" w:cs="Times New Roman" w:eastAsia="Times New Roman" w:hAnsi="Times New Roman"/>
          <w:sz w:val="12"/>
          <w:szCs w:val="12"/>
          <w:b w:val="1"/>
          <w:bCs w:val="1"/>
          <w:color w:val="auto"/>
        </w:rPr>
        <w:t>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an informal cybersecurity policy. As of the date of this annual report, our board of directors has oversight responsibility for the Company’s overall risk management, including cybersecurity risk. The Company’s executive officers oversee the strategic processes to safeguard data and comply with relevant regulations and report material cybersecurity incidents to the board of directors. The Company relies on certain third parties for the provision of its cloud infrastructure but does not currently engage any assessors, consultants, auditors, or other third parties in connection with any processes for assessing, identifying, and managing material risks from cybersecurity threats, given the size and scale of the Company, the resources available to it, the anticipated expenditures, and the risks it faces in terms of cybersecurity. As of the date of this annual report, there have been no cybersecurity threats that have materially affected or are reasonably likely to materially affect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17.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beginning with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19. E</w:t>
      </w:r>
      <w:r>
        <w:rPr>
          <w:rFonts w:ascii="Times New Roman" w:cs="Times New Roman" w:eastAsia="Times New Roman" w:hAnsi="Times New Roman"/>
          <w:sz w:val="12"/>
          <w:szCs w:val="12"/>
          <w:b w:val="1"/>
          <w:bCs w:val="1"/>
          <w:color w:val="auto"/>
        </w:rPr>
        <w:t>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100" w:type="dxa"/>
            <w:vAlign w:val="bottom"/>
            <w:gridSpan w:val="11"/>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Second Amended and Restated Memorandum of Association and Articles of Association, as currently in effect (incorporated herein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reference to Exhibit 3.1 to the registration statement on Form F-1 (File No. 333-287302), as amended, filed with the U.S. Securities and</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Exchange Commission on May 15, 2025)</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tcPr>
          <w:p>
            <w:pPr>
              <w:spacing w:after="0"/>
              <w:rPr>
                <w:sz w:val="15"/>
                <w:szCs w:val="15"/>
                <w:color w:val="auto"/>
              </w:rPr>
            </w:pPr>
          </w:p>
        </w:tc>
        <w:tc>
          <w:tcPr>
            <w:tcW w:w="30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7100" w:type="dxa"/>
            <w:vAlign w:val="bottom"/>
            <w:tcBorders>
              <w:top w:val="single" w:sz="8" w:color="CCEEFF"/>
            </w:tcBorders>
            <w:gridSpan w:val="11"/>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Employment Agreement between the registrant and Mr. Kit Shing, CHEUNG, registrant’s Chief Executive Officer and Chair of the Board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(incorporated herein by reference to Exhibit 10.1 to the registration statement on Form F-1 (File No. 333-287302), as amended, filed with</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the U.S. Securities and Exchange Commission on May 15,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Employment Agreement between the registrant and Mr. Hon Fai, TAM, registrant’s Chief Financial Officer (incorporated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reference to Exhibit 10.2 to the registration statement on Form F-1 (File No. 333-287302), as amended, filed with the U.S.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Exchange Commission on May 15,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Employment Agreement between the registrant and Mr. Zhihan, LOU, registrant’s Chief Operating Officer (incorporated herein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reference to Exhibit 10.3 to the registration statement on Form F-1 (File No. 333-287302), as amended, filed with the U.S. Securities and</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Exchange Commission on May 15,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Tenancy Agreement for Unit 03-04, 25/F, Cosco Tower, 183 Queen’s Road Central, Sheung Wan, Hong Kong</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9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Tenancy Agreement for Room 1510, 15/F, Tower A, Fangtian Technology Plaza, Nanshan District, Shenzhen, Guangdong, China.</w:t>
            </w:r>
          </w:p>
        </w:tc>
        <w:tc>
          <w:tcPr>
            <w:tcW w:w="74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Independent Director Agreement by and between the registrant and its Independent Director (incorporated herein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Exhibit 10.4 to the registration statement on Form F-1 (File No. 333-287302), as amended, filed with the U.S.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Commission on May 15,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List of Subsidiaries (incorporated herein by reference to Exhibit 21.1 to the registration statement on Form F-1 (File No. 333-287302),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filed with the U.S. Securities and Exchange Commission on May 15,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Code of Business Conduct and Ethics (incorporated herein by reference to Exhibit 14.1 to the registration statement on Form F-1 (File No.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333-287302), as amended, filed with the U.S. Securities and Exchange Commission on May 15, 2025)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Insider Trading Policy (incorporated herein by reference to Exhibit 99.10 to the registration statement on Form F-1 (File No. 333-287302),</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as amended, filed with the U.S. Securities and Exchange Commission on May 15,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and Principal Financial Officer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Clawback Policy</w:t>
            </w:r>
          </w:p>
        </w:tc>
        <w:tc>
          <w:tcPr>
            <w:tcW w:w="8780" w:type="dxa"/>
            <w:vAlign w:val="bottom"/>
            <w:tcBorders>
              <w:bottom w:val="single" w:sz="8" w:color="CCEEFF"/>
            </w:tcBorders>
            <w:gridSpan w:val="14"/>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6" w:lineRule="exact"/>
        <w:rPr>
          <w:sz w:val="20"/>
          <w:szCs w:val="20"/>
          <w:color w:val="auto"/>
        </w:rPr>
      </w:pPr>
    </w:p>
    <w:p>
      <w:pPr>
        <w:ind w:left="380" w:hanging="345"/>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Kit Shing, CHUENG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10120" w:type="dxa"/>
            <w:vAlign w:val="bottom"/>
            <w:gridSpan w:val="7"/>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ETOILES CAPITAL GROUP CO., LTD AND ITS SUBSIDIARIES</w:t>
            </w:r>
          </w:p>
        </w:tc>
        <w:tc>
          <w:tcPr>
            <w:tcW w:w="1120" w:type="dxa"/>
            <w:vAlign w:val="bottom"/>
          </w:tcPr>
          <w:p>
            <w:pPr>
              <w:spacing w:after="0"/>
              <w:rPr>
                <w:sz w:val="20"/>
                <w:szCs w:val="20"/>
                <w:color w:val="auto"/>
              </w:rPr>
            </w:pPr>
          </w:p>
        </w:tc>
      </w:tr>
      <w:tr>
        <w:trPr>
          <w:trHeight w:val="432"/>
        </w:trPr>
        <w:tc>
          <w:tcPr>
            <w:tcW w:w="10120" w:type="dxa"/>
            <w:vAlign w:val="bottom"/>
            <w:gridSpan w:val="7"/>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20" w:type="dxa"/>
            <w:vAlign w:val="bottom"/>
          </w:tcPr>
          <w:p>
            <w:pPr>
              <w:spacing w:after="0"/>
              <w:rPr>
                <w:sz w:val="24"/>
                <w:szCs w:val="24"/>
                <w:color w:val="auto"/>
              </w:rPr>
            </w:pPr>
          </w:p>
        </w:tc>
      </w:tr>
      <w:tr>
        <w:trPr>
          <w:trHeight w:val="439"/>
        </w:trPr>
        <w:tc>
          <w:tcPr>
            <w:tcW w:w="34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54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6722)</w:t>
            </w:r>
          </w:p>
        </w:tc>
        <w:tc>
          <w:tcPr>
            <w:tcW w:w="47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9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for the Years Ended December 31, 2025, 2024 and 2023</w:t>
            </w:r>
          </w:p>
        </w:tc>
        <w:tc>
          <w:tcPr>
            <w:tcW w:w="1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2025, 2024 and 2023</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4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31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6"/>
        </w:trPr>
        <w:tc>
          <w:tcPr>
            <w:tcW w:w="34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4"/>
          </w:tcPr>
          <w:p>
            <w:pPr>
              <w:jc w:val="center"/>
              <w:ind w:right="428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1036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0369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Etoiles Capital Group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Etoiles Capital Group Co., Ltd and its subsidiaries (collectively referred to as the “Group”) as of December 31, 2025 and 2024 and the related consolidated statements of operations and comprehensive (loss) income, changes in shareholders’ equity, and cash flows for each of the years in the three-year period ended December 31, 2025, and the related notes (collectively referred to as the “consolidated financial statements”). In our opinion, the consolidated financial statements present fairly, in all material respects, the financial position of the Group as of December 31, 2025 and 2024, and the results of its operations and its cash flows for each of the years in the three-year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United States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served as the Group’s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Amherst, NY</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i w:val="1"/>
          <w:iCs w:val="1"/>
          <w:color w:val="auto"/>
        </w:rPr>
        <w:t>/s/ SRCO, C.P.A., Professional Corporation</w:t>
      </w:r>
    </w:p>
    <w:p>
      <w:pPr>
        <w:spacing w:after="0" w:line="28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SRCO, C.P.A., Professional Corporation</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5,426,805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1,441,024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(Note 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238,973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 net (Note 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 director (Note 15)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309,507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5,977,589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 and other assets, net (Note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 net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tax assets (Note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initial public offering costs (Note 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658,635</w:t>
      </w:r>
      <w:r>
        <w:rPr>
          <w:sz w:val="20"/>
          <w:szCs w:val="20"/>
          <w:color w:val="auto"/>
        </w:rPr>
        <w:tab/>
      </w:r>
      <w:r>
        <w:rPr>
          <w:rFonts w:ascii="Times New Roman" w:cs="Times New Roman" w:eastAsia="Times New Roman" w:hAnsi="Times New Roman"/>
          <w:sz w:val="18"/>
          <w:szCs w:val="18"/>
          <w:color w:val="auto"/>
        </w:rPr>
        <w:t>41,932</w:t>
      </w:r>
    </w:p>
    <w:p>
      <w:pPr>
        <w:spacing w:after="0" w:line="27" w:lineRule="exact"/>
        <w:rPr>
          <w:sz w:val="20"/>
          <w:szCs w:val="20"/>
          <w:color w:val="auto"/>
        </w:rPr>
      </w:pP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39,019</w:t>
      </w:r>
      <w:r>
        <w:rPr>
          <w:sz w:val="20"/>
          <w:szCs w:val="20"/>
          <w:color w:val="auto"/>
        </w:rPr>
        <w:tab/>
      </w:r>
      <w:r>
        <w:rPr>
          <w:rFonts w:ascii="Times New Roman" w:cs="Times New Roman" w:eastAsia="Times New Roman" w:hAnsi="Times New Roman"/>
          <w:sz w:val="18"/>
          <w:szCs w:val="18"/>
          <w:color w:val="auto"/>
        </w:rPr>
        <w:t>18,593</w:t>
      </w:r>
    </w:p>
    <w:p>
      <w:pPr>
        <w:spacing w:after="0" w:line="9" w:lineRule="exact"/>
        <w:rPr>
          <w:sz w:val="20"/>
          <w:szCs w:val="20"/>
          <w:color w:val="auto"/>
        </w:rPr>
      </w:pPr>
    </w:p>
    <w:p>
      <w:pPr>
        <w:jc w:val="both"/>
        <w:ind w:left="400"/>
        <w:spacing w:after="0"/>
        <w:tabs>
          <w:tab w:leader="none" w:pos="1940" w:val="left"/>
        </w:tabs>
        <w:rPr>
          <w:sz w:val="20"/>
          <w:szCs w:val="20"/>
          <w:color w:val="auto"/>
        </w:rPr>
      </w:pPr>
      <w:r>
        <w:rPr>
          <w:rFonts w:ascii="Times New Roman" w:cs="Times New Roman" w:eastAsia="Times New Roman" w:hAnsi="Times New Roman"/>
          <w:sz w:val="18"/>
          <w:szCs w:val="18"/>
          <w:color w:val="auto"/>
        </w:rPr>
        <w:t>2,081,612</w:t>
      </w:r>
      <w:r>
        <w:rPr>
          <w:sz w:val="20"/>
          <w:szCs w:val="20"/>
          <w:color w:val="auto"/>
        </w:rPr>
        <w:tab/>
      </w:r>
      <w:r>
        <w:rPr>
          <w:rFonts w:ascii="Times New Roman" w:cs="Times New Roman" w:eastAsia="Times New Roman" w:hAnsi="Times New Roman"/>
          <w:sz w:val="18"/>
          <w:szCs w:val="18"/>
          <w:color w:val="auto"/>
        </w:rPr>
        <w:t>53,418</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—4,539</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—181,688</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2,779,266300,170</w:t>
      </w:r>
    </w:p>
    <w:p>
      <w:pPr>
        <w:spacing w:after="0" w:line="63" w:lineRule="exact"/>
        <w:rPr>
          <w:sz w:val="20"/>
          <w:szCs w:val="20"/>
          <w:color w:val="auto"/>
        </w:rPr>
      </w:pPr>
    </w:p>
    <w:p>
      <w:pPr>
        <w:spacing w:after="0"/>
        <w:tabs>
          <w:tab w:leader="none" w:pos="38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8,756,855</w:t>
        <w:tab/>
        <w:t>$</w:t>
      </w:r>
      <w:r>
        <w:rPr>
          <w:sz w:val="20"/>
          <w:szCs w:val="20"/>
          <w:color w:val="auto"/>
        </w:rPr>
        <w:tab/>
      </w:r>
      <w:r>
        <w:rPr>
          <w:rFonts w:ascii="Times New Roman" w:cs="Times New Roman" w:eastAsia="Times New Roman" w:hAnsi="Times New Roman"/>
          <w:sz w:val="18"/>
          <w:szCs w:val="18"/>
          <w:color w:val="auto"/>
        </w:rPr>
        <w:t>2,069,102</w:t>
      </w:r>
    </w:p>
    <w:p>
      <w:pPr>
        <w:spacing w:after="0" w:line="27"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(Note 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396,887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958,314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(Note 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501,597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director (Note 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 (Note 12)</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152,364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(Note 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 (Note 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1,580,015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1,591,369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2,959,843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1,180,908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450,000,000 shares authorized, par value US$0.0001 each, 15,110,000 and 13,500,000 Class 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2025 and 2024, respectively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50,000,000 shares authorized, par value US$0.0001 each, 5,000,000 Class B ordinary shares issued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2025 and 2024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5,066,546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881,721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8,756,855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2,069,102</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Commitments and contingencies (Note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2" w:name="page73"/>
    <w:bookmarkEnd w:id="72"/>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OPERATIONS AND COMPREHENSIVE (LOSS) INCOME FOR THE YEARS ENDED DECEMBER 31, 2025, 2024 and 2023 (Currency expressed in United States Dollars (“USD or $”), except for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(997,475)</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(534,880)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(259,760)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(130,494)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(1,997,017)</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(859,935)</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(3,254,252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(31,908)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1,000,600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22,880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(50,516)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(27,636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(59,544)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996,916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(Note 12)</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(94,116)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(144,417)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(153,660</w:t>
            </w:r>
          </w:p>
        </w:tc>
        <w:tc>
          <w:tcPr>
            <w:tcW w:w="24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852,499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(3,729)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4,053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(157,389</w:t>
            </w:r>
          </w:p>
        </w:tc>
        <w:tc>
          <w:tcPr>
            <w:tcW w:w="24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856,552</w:t>
            </w:r>
          </w:p>
        </w:tc>
        <w:tc>
          <w:tcPr>
            <w:tcW w:w="28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32,766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(Loss)/earning per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line="256" w:lineRule="exact"/>
              <w:rPr>
                <w:sz w:val="20"/>
                <w:szCs w:val="20"/>
                <w:color w:val="auto"/>
              </w:rPr>
            </w:pPr>
            <w:r>
              <w:rPr>
                <w:rFonts w:ascii="Times New Roman" w:cs="Times New Roman" w:eastAsia="Times New Roman" w:hAnsi="Times New Roman"/>
                <w:sz w:val="16"/>
                <w:szCs w:val="16"/>
                <w:color w:val="auto"/>
              </w:rPr>
              <w:t>(0.0080</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0.0461</w:t>
            </w:r>
          </w:p>
        </w:tc>
        <w:tc>
          <w:tcPr>
            <w:tcW w:w="28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0.0018</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19,126,616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CHANGES IN SHAREHOLDERS’ EQUITY FOR THE YEARS ENDED DECEMBER 31, 2025, 2024 AND 2023 (Currency expressed in United States Dollars (“USD or $”), except for number of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1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1840" w:type="dxa"/>
            <w:vAlign w:val="bottom"/>
          </w:tcPr>
          <w:p>
            <w:pPr>
              <w:spacing w:after="0"/>
              <w:rPr>
                <w:sz w:val="22"/>
                <w:szCs w:val="22"/>
                <w:color w:val="auto"/>
              </w:rPr>
            </w:pPr>
          </w:p>
        </w:tc>
        <w:tc>
          <w:tcPr>
            <w:tcW w:w="17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7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Share Capital</w:t>
            </w:r>
          </w:p>
        </w:tc>
        <w:tc>
          <w:tcPr>
            <w:tcW w:w="8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1840" w:type="dxa"/>
            <w:vAlign w:val="bottom"/>
          </w:tcPr>
          <w:p>
            <w:pPr>
              <w:spacing w:after="0"/>
              <w:rPr>
                <w:sz w:val="16"/>
                <w:szCs w:val="16"/>
                <w:color w:val="auto"/>
              </w:rPr>
            </w:pPr>
          </w:p>
        </w:tc>
        <w:tc>
          <w:tcPr>
            <w:tcW w:w="98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400" w:type="dxa"/>
            <w:vAlign w:val="bottom"/>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92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84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4"/>
        </w:trPr>
        <w:tc>
          <w:tcPr>
            <w:tcW w:w="18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(1,124)</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32,696</w:t>
            </w: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171"/>
        </w:trPr>
        <w:tc>
          <w:tcPr>
            <w:tcW w:w="18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as</w:t>
            </w: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December 31, 2023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$18,500,000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31,642</w:t>
            </w: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852,499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852,499</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4,053</w:t>
            </w:r>
          </w:p>
        </w:tc>
      </w:tr>
      <w:tr>
        <w:trPr>
          <w:trHeight w:val="184"/>
        </w:trPr>
        <w:tc>
          <w:tcPr>
            <w:tcW w:w="18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8"/>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18,500,000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881,721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888,194</w:t>
            </w:r>
          </w:p>
        </w:tc>
      </w:tr>
      <w:tr>
        <w:trPr>
          <w:trHeight w:val="171"/>
        </w:trPr>
        <w:tc>
          <w:tcPr>
            <w:tcW w:w="18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Issue of shares pursuant</w:t>
            </w: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IPO, net of offering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(Note 10)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1,610,000</w:t>
            </w:r>
          </w:p>
        </w:tc>
        <w:tc>
          <w:tcPr>
            <w:tcW w:w="1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1,610,000</w:t>
            </w:r>
          </w:p>
        </w:tc>
        <w:tc>
          <w:tcPr>
            <w:tcW w:w="1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5,066,046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5,066,207</w:t>
            </w: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(153,660)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(153,660)</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(3,729)</w:t>
            </w:r>
          </w:p>
        </w:tc>
      </w:tr>
      <w:tr>
        <w:trPr>
          <w:trHeight w:val="184"/>
        </w:trPr>
        <w:tc>
          <w:tcPr>
            <w:tcW w:w="18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8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$ 20,110,000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5,066,546</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728,061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5,797,012</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CASH FLOWS FOR THE YEARS ENDED DECEMBER 31, 2025, 2024 AND 2023 (Currency expressed in United States Dollars (“USD or $”), except for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(153,660)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852,499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139,495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75,131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20,676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(231,821)</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(320,988)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183,346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(561,427)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958,314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 (to) a director</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4,980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(345,028)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15,893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78,070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149,627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(85,245)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(42,378)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(used in)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(910,681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1,622,868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(687,059)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(75,215)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(687,059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(75,215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offering costs for related to IPO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(1,192,106)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(181,688)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 pursuant to IPO</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6,440,000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by a director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680,185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from a director</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(340,988)</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5,587,091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3,989,351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1,365,965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63,945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70,476</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5,426,805</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1,441,024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2,140,510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95,174</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right-of-use assets and lease liabilities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27,071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There were no significant non-cash investing or financing transactions during the years ended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2024 and 2023.</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Supplementary cash flow information: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22,868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50,516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PRINCIPAL ACTIVITIES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Etoiles Capital Group Co., Ltd </w:t>
      </w:r>
      <w:r>
        <w:rPr>
          <w:rFonts w:ascii="Times New Roman" w:cs="Times New Roman" w:eastAsia="Times New Roman" w:hAnsi="Times New Roman"/>
          <w:sz w:val="18"/>
          <w:szCs w:val="18"/>
          <w:color w:val="auto"/>
        </w:rPr>
        <w:t>(the “Company”) was incorporated in the Cayman Islands on September 13, 2024, as an exempted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and serves as an investment holding company. The Company conducts its business operations through its indirectly wholly-owned subsidiaries (herein collectively referred to as the “Group”), which include:</w:t>
      </w:r>
    </w:p>
    <w:p>
      <w:pPr>
        <w:spacing w:after="0" w:line="171" w:lineRule="exact"/>
        <w:rPr>
          <w:sz w:val="20"/>
          <w:szCs w:val="20"/>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Consultancy Limited </w:t>
      </w:r>
      <w:r>
        <w:rPr>
          <w:rFonts w:ascii="Times New Roman" w:cs="Times New Roman" w:eastAsia="Times New Roman" w:hAnsi="Times New Roman"/>
          <w:sz w:val="18"/>
          <w:szCs w:val="18"/>
          <w:color w:val="auto"/>
        </w:rPr>
        <w:t>(formerly known as Shum Yin Consultancy Limited) (“Etoiles Consultancy”), incorporated and domiciled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Hong Kong Special Administrative Region (“HK SAR”), specializing in providing integrated investor relations services.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Financial Group Limited </w:t>
      </w:r>
      <w:r>
        <w:rPr>
          <w:rFonts w:ascii="Times New Roman" w:cs="Times New Roman" w:eastAsia="Times New Roman" w:hAnsi="Times New Roman"/>
          <w:sz w:val="18"/>
          <w:szCs w:val="18"/>
          <w:color w:val="auto"/>
        </w:rPr>
        <w:t>(“Etoiles Financial”), incorporated and domiciled in HK SAR, which remains inactive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consolidated financial statements.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Original Limited </w:t>
      </w:r>
      <w:r>
        <w:rPr>
          <w:rFonts w:ascii="Times New Roman" w:cs="Times New Roman" w:eastAsia="Times New Roman" w:hAnsi="Times New Roman"/>
          <w:sz w:val="18"/>
          <w:szCs w:val="18"/>
          <w:color w:val="auto"/>
        </w:rPr>
        <w:t>(“Etoiles Original”), incorporated and domiciled in British Virgin Islands, which remains inactive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consolidated financial statements.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Vision Technology (Shenzhen) Limited </w:t>
      </w:r>
      <w:r>
        <w:rPr>
          <w:rFonts w:ascii="Times New Roman" w:cs="Times New Roman" w:eastAsia="Times New Roman" w:hAnsi="Times New Roman"/>
          <w:sz w:val="18"/>
          <w:szCs w:val="18"/>
          <w:color w:val="auto"/>
        </w:rPr>
        <w:t>(“Etoiles Vision”), incorporated and domiciled in People’s Republic of China, specializing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providing integrated investor relations services.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is headquartered in Hong Kong, where its primary operations focus on delivering integrated investor relations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154305</wp:posOffset>
            </wp:positionV>
            <wp:extent cx="5657850" cy="255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Company’s subsidiaries are detailed in the table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Direct/indirect</w:t>
            </w:r>
          </w:p>
        </w:tc>
        <w:tc>
          <w:tcPr>
            <w:tcW w:w="20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2020" w:type="dxa"/>
            <w:vAlign w:val="bottom"/>
          </w:tcPr>
          <w:p>
            <w:pPr>
              <w:spacing w:after="0"/>
              <w:rPr>
                <w:sz w:val="18"/>
                <w:szCs w:val="18"/>
                <w:color w:val="auto"/>
              </w:rPr>
            </w:pPr>
          </w:p>
        </w:tc>
      </w:tr>
      <w:tr>
        <w:trPr>
          <w:trHeight w:val="24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formation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ownership %</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r>
      <w:tr>
        <w:trPr>
          <w:trHeight w:val="198"/>
        </w:trPr>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Zynergy Holding Co., Limited</w:t>
            </w:r>
          </w:p>
        </w:tc>
        <w:tc>
          <w:tcPr>
            <w:tcW w:w="1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 BVI company</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Holding company</w:t>
            </w:r>
          </w:p>
        </w:tc>
      </w:tr>
      <w:tr>
        <w:trPr>
          <w:trHeight w:val="234"/>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(“Zynergy BVI”)</w:t>
            </w: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27, 2023</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Etoiles Consultancy</w:t>
            </w:r>
          </w:p>
        </w:tc>
        <w:tc>
          <w:tcPr>
            <w:tcW w:w="21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 Hong Kong company</w:t>
            </w:r>
          </w:p>
        </w:tc>
        <w:tc>
          <w:tcPr>
            <w:tcW w:w="2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Integrated investor</w:t>
            </w: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9, 2013</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relations service</w:t>
            </w:r>
          </w:p>
        </w:tc>
      </w:tr>
      <w:tr>
        <w:trPr>
          <w:trHeight w:val="198"/>
        </w:trPr>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Etoiles Financial</w:t>
            </w:r>
          </w:p>
        </w:tc>
        <w:tc>
          <w:tcPr>
            <w:tcW w:w="21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 Hong Kong company</w:t>
            </w: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Inactive</w:t>
            </w:r>
          </w:p>
        </w:tc>
      </w:tr>
      <w:tr>
        <w:trPr>
          <w:trHeight w:val="234"/>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16, 2023</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Etoiles Original Limited</w:t>
            </w:r>
          </w:p>
        </w:tc>
        <w:tc>
          <w:tcPr>
            <w:tcW w:w="21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A BVI company</w:t>
            </w:r>
          </w:p>
        </w:tc>
        <w:tc>
          <w:tcPr>
            <w:tcW w:w="2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Inactive</w:t>
            </w: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8, 2025</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98"/>
        </w:trPr>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Etoiles Vision Technology</w:t>
            </w:r>
          </w:p>
        </w:tc>
        <w:tc>
          <w:tcPr>
            <w:tcW w:w="21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 People’s Republic of</w:t>
            </w: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Integrated investor</w:t>
            </w:r>
          </w:p>
        </w:tc>
      </w:tr>
      <w:tr>
        <w:trPr>
          <w:trHeight w:val="234"/>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(Shenzhen) Limited</w:t>
            </w:r>
          </w:p>
        </w:tc>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China company</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19, 2025</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relations service</w:t>
            </w:r>
          </w:p>
        </w:tc>
      </w:tr>
      <w:tr>
        <w:trPr>
          <w:trHeight w:val="655"/>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F-7</w:t>
            </w: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6" w:name="page77"/>
    <w:bookmarkEnd w:id="76"/>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PRINCIPAL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reorganization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reorganization of the Group to rationalize the structure of the Group in preparation for the listing of Class A Ordinary Shares, the Company became the holding company of the Group on November 3, 2024. Prior to the reorganization, all the issued share capital of Etoiles Consultancy and Etoiles Financial was held by Zynergy BVI, which was held by Etoiles Zeneo Investment Limited. As part of this reorganization, on November 3, 2024, the Company acquired all the issued share capital of Zynergy BVI from Etoiles Zeneo Investment Limited at cash considerations of $1.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Company and its subsidiaries were under the common control of the shareholders, and their equity interests were ultimately held by the same parties immediately before and after the reorganization, the reorganization was accounted for as a recapitalization. Accordingly, the consolidated financial statements of the Group have been prepared at historical cost, as if the reorganization had been in effect as of the beginning of the earliest period presented. The consolidated financial statements reflect the current group structure as if it had been in existence throughout the two-year period ended December 31, 2025, or since the incorporation/establishment of the relevant entities where applicable.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shares of the Company began trading on the Nasdaq Capital Market on August 8, 2025, under the ticker symbol “EFTY”. The Company consummated its initial public offering of 1,400,000 Class A ordinary shares. As a result, the Company has raised aggregate gross proceeds of $5,600,000 in the initial public offering, before deducting underwriting discounts and other related expenses. The Group closed the sale of an additional 210,000 Class A ordinary shares. The underwriters’ full exercise of the over-allotment option resulted in the sale of 210,000 additional shares, contributing $840,000 in additional gross capital. As a result, the Group has raised aggregate gross proceeds of $6,440,000, including the previously announced IPO gross proceeds of $5,600,000, prior to deducting underwriting discounts and commissions and offering expenses payable by the Group.</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 2025, the U.S. Securities and Exchange Commission (the “SEC”) made an order suspending trading in the securities of Etoiles Capital Group Co., Ltd (the “Company”) for the period from 4:00 a.m. ET on October 6, 2025, through 11:59 p.m. ET on October 17, 2025 (the “Suspension Period”) because of potential manipulation in the securities of the Company effectuated through recommendations, made to investors by unknown persons via social media to purchase the securities of the Company, which appear to be designed to artificially inflate the price and volume of the securities of the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response to Nasdaq’s subsequent request for information relating to the SEC suspension and other related matters, the Company submitted a written response to Nasdaq on October 12,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18, 2025, Nasdaq issued a public notice stating that trading in the Company’s securities will remain halted pending the receipt of additional information from the Company.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 has not received any further follow-up requests from Nasdaq and continues to closely monitor the situation. The Company remains fully committed to cooperating with Nasdaq, the SEC and all relevant regulatory authorities to address any outstanding matters in a transparent and timely manner.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wishes to state clearly that it has not authorized, participated in, or been involved with any promotion or recommendation of its securities via social media or otherwise. The Company’s management and the board of directors take this matter very seriously. The Company is fully committed to cooperating with the SEC and all relevant regulatory authorities during the Suspension Period.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further emphasizes that its daily operations and business activities remain normal and unaffected by the suspension of trading. The Company continues to carry out its business plans and serve its clients as usual.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movement in the Company’s authorized share capital and the number of ordinary shares outstanding and issued in the Company are also detailed in the Note 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preparation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Group. The Group eliminates all significant intercompany balances and transactions in the consolidated financial statements.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prepared the accompanying consolidated financial statements and these notes in accordance to generally accepted accounting principles in the United States (“US GAAP”) and pursuant to the rules and regulations of the Securities Exchange Commission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Management makes these estimates using the best information available when the calculations are made. Significant accounting estimates reflected in the Group’s its consolidated financial statement include the useful lives of plant and equipment, impairment of long-lived assets, operating right-of-use assets and lease liabilities, allowance for credit loss, revenue recognition, deferred taxes and uncertain tax position.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USD, which is the reporting currency of the Group. The functional currency of the Company’s subsidiaries in Hong Kong is Hong Kong Dollars (“HKD” or “HK$”) and the functional currency of its subsidiary incorporated in the British Virgin Islands is United States Dollars. These are considered their respective local currencies based on the criteria of ASC 830, “Foreign Currency Matters.”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results of operations and the consolidated statements of cash flows denominated in foreign currency are translated at the average rate of exchange during the reporting period. Assets and liabilities denominated in foreign currencies at the consolidated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shareholders’ equity. Gains and losses from foreign currency transactions are included in the Company’s consolidated statements of operations and comprehensive income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currency exchange rates that were used in preparing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 HK$ exchange rate</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7.7833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7.7677</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Year average $: HK$ exchange rate</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7.7956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7.8030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petty cash on hand and cash held in banks, which are highly liquid and have original maturities of three months or less and are unrestricted as to withdrawal or use. The Group maintains all bank accounts in domestic banks of Hong Kong. Cash balances in bank accounts in Hong Kong are protected under Deposit Protection Scheme in accordance with the Deposit Protection Scheme Ordinance (Chapter 581 of the laws of Hong Kong). The maximum protection was up to HKD500,000 (approximately US$64,139) and has been raised to HKD800,000 (approximately US$102,622) from October 1, 2025 per depositor per Scheme member, including both principal and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Prepayment and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Prepayment is mainly payment made to vendors or services providers for future services that have not been provided. These amounts are non-refundable and bear no interest. Prepayments represent advance payments made to the service providers for future services. Prepayments are short-term in nature and are reviewed periodically to determine whether their carrying value has become impaired.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Deposits are mainly for rent, utilities and money deposited with certain vendors. These amounts are refundable and bear no interest. The short-term deposits usually have a one-year term and are refundable upon contract termination. The long-term deposits are refunded from suppliers when terms and conditions set forth in the agreements have been satisfied.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considers the prepayments and deposits to be impaired if the realizability of these amounts become doubtful. As of December 31, 2025, 2024 and 2023, there was nil allowance recorded as the Group considers all of the prepayments and deposits recoverable. Management reviews periodically to determine if the allowance is adequate and adjusts the allowance when necessary. The allowance is based on management’s best estimate of specific losses on individual exposures, as well as a provision on historical trends of collections and utilizations. Actual amounts received or utilized may differ from management’s estimate of credit worthiness and the economic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any impairment losses. Depreciation is provided over their estimated useful lives, using the straight-line method. The Group typically applies a salvage value of 0%. The estimated useful lives of the plan and equipment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Over the shorter of the remaining lease term or five years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Computer</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640" w:type="dxa"/>
            <w:vAlign w:val="bottom"/>
          </w:tcPr>
          <w:p>
            <w:pPr>
              <w:spacing w:after="0"/>
              <w:rPr>
                <w:sz w:val="18"/>
                <w:szCs w:val="18"/>
                <w:color w:val="auto"/>
              </w:rPr>
            </w:pP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is not depreciated until the relevant assets are completed and are available</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6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for their intended use.</w:t>
            </w:r>
          </w:p>
        </w:tc>
      </w:tr>
      <w:tr>
        <w:trPr>
          <w:trHeight w:val="655"/>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240"/>
          </w:cols>
          <w:pgMar w:left="320" w:top="333" w:right="339" w:bottom="1440" w:gutter="0" w:footer="0" w:header="0"/>
        </w:sectPr>
      </w:pPr>
    </w:p>
    <w:bookmarkStart w:id="79" w:name="page80"/>
    <w:bookmarkEnd w:id="79"/>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are included in the Group’s consolidated statements of operations and comprehensive income. The costs of maintenance and repairs are recognized as incurred; significant renewals and betterments, which substantially extend the useful life of assets, are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representing property and equipment with finite lives are reviewed for impairment whenever events or changes in circumstances (such as a significant adverse change to market conditions that will impact the future use of the assets) indicate that the carrying value of an asset may not be recoverable. We assess the recoverability of the assets based on the undiscounted future cash flows the assets are expected to generate and recognize an impairment loss when estimated undiscounted future cash flows expected to result from the use of the asset plus net proceeds expected from disposition of the asset, if any, are less than the carrying value of the asset. If an impairment is identified, we would reduce the carrying amount of the asset to its estimated fair value based on a discounted cash flows approach or, when available and appropriate, to comparable market values. As of December 31, 2025 and 2024, no impairment of long-lived assets was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IPO costs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direct and incremental costs incurred in connection with its planned initial public offering (“IPO”). These deferred offering costs are recorded as a non-current asset on the balance sheet. Upon successful completion of the IPO, the deferred offering costs are reclassified as a reduction of the IPO proceeds in shareholders’ equity. If the IPO is abandoned, these costs are immediately expensed in the period of abandonment.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applies the provisions of ASC Topic 842, Leases which requires lessees to recognize lease assets and lease liabilities on the consolidated balance sheet. 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must discount lease payments based on an estimate of its incremental borrowing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right-of-use assets consist of leased assets recognized in accordance with ASC 842, Leases, which requires lessees to recognize a lease liability and a corresponding lease asset for virtually all lease contracts. Right-of-use assets represent the Company’s right to use an underlying asset for the lease term and lease liability represents the Company’s obligation to make lease payments arising from the lease, both of which are recognized based on the present value of the future minimum lease payments over the lease term at the commencement date. Leases with a lease term of 12 months or less at inception are not recorded on the consolidated balance sheet and are expensed on a straight-line basis over the lease term in the consolidated statements of operations and comprehensive loss. The Company determines the lease term by agreement with lessor. In cases where the lease does not provide an implicit interest rate, the Company uses the Company’s incremental borrowing rate based on the information available at commencement date in determining the present value of future payments.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adopted ASC 850, Related Party Disclosures, for the identification of related parties and disclosure of related party transactions. In general, related parties exist when there is a relationship that offers the potential for transactions at less than arm’s-length, favorable treatment, or the ability to influence the outcome of events different from that which might result in the absence of that relationship. A related party may be any of the following: a) an affiliate, which is a party that directly or indirectly controls, is controlled by, or is under common control with another party; b) a principal owner, owner of record or known beneficial owner of more than 10% of the voting interest of an entity; c) management, which are persons having responsibility for achieving objectives of the entity and requisite authority to make decision; d) immediate family of management or principal owners; e) a parent Company and its subsidiaries; and f) other parties that have ability to significantly influence the management or operating policies of the entity. The Group discloses all significant related party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the accounts receivable and contract liabilities on the consolidated balance sheets.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recognized for services performed but not yet billed to clients are recorded as contract assets. The Group recognizes advance payments from its clients for services that have not yet been performed or earned as contract liabilities. When consideration is received, or such consideration is unconditionally due from a customer prior to transferring consulting services to the customer under the terms of a contract, a contract liability is recorded. Contract liabilities are recognized as revenue after performance obligations have been satisfied and all revenue recognition criteria have been met.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defines accounts receivable as assets for which it has recorded revenue because it determines that it is probable that it will earn a contractually agreed-upon fee, but is not yet entitled to receive a fee because certain events, such as completion of the measurement period or client approval, must occur.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recognized contract liabilities of $396,887 and $958,314 as at December 31,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to depict the transfer of promised services to customers in an amount that reflects the consideration to which the company expects to be entitled in exchange for those goods or services. The following five steps are applied to achieve that core principle: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five-step model defined by ASC Topic 606 requires the Group to:</w:t>
      </w:r>
    </w:p>
    <w:p>
      <w:pPr>
        <w:spacing w:after="0" w:line="22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contracts with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performance obligations under those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prices of those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prices to its performance obligations in those contracts;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services are transferred to the client in an amount that reflects the consideration expected in exchange for those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elected a practical expedient that it does not adjust the promised amount of consideration for the effects of a significant financing component if the Group expects that, upon the inception of revenue contracts, the period between when the Group transfers its promised services or deliverables to its clients and when the clients pay for those services or deliverables will be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elected as a practical expedient to not disclose the aggregate amount of the transaction price allocated to unsatisfied performance obligations as of December 31, 2025 and December 31, 2024, as the Group’s contracts generally have an original expected duration of one year or less or revenue has been recognized at the amount for which the Group has the right to invoice for consulting services performed.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is a professional services provider in Hong Kong that principally engages in the integrated investor relations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derives substantially all of its revenues from the performance of professional services for its clients based on a fixed-price arrangement. Fixed-price arrangements require the client to pay a contractually agreed-upon fee in exchange for a pre-established set of professional services. The Group’s fixed-price arrangements have a single performance obligation.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generally enters into distinct contracts with its clients for integrated investor relations services. These services include assisting clients in promoting their corporate image, managing relationships with investors, and conducting tailored due diligence exercises. Specifically, our services comprise: (i) management of public relations, including promotional planning, media coordination, and crisis management; (ii) management of investor relations, including drafting media documents and coordinating shareholder engagements; (iii) tailored due diligence exercises on investment or acquisition targets; and (iv) other value-added services such as website design enhancement and promotional video production.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generated from integrated investor relations services is structured based on service agreements in which clients pay a predetermined fee for a defined set of services. However, rather than adhering to a fixed billing arrangement, payments are made according to a mutually agreed-upon schedule outlined in the respective service agreements.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enters into service agreements with its customers that outline the rights, responsibilities, and obligations of each party. The agreements also identify the scope of services, service fees, and payment terms. Agreements are acknowledged and signed by both parties. All the contracts have commercial substance, and it is probable that the Group will collect considerations from its customers for service component.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is recognized when the Group satisfies a performance obligation by transferring services promised in a contract to a client in an amount that reflects the consideration that the Group expects to receive in exchange for those services. Performance obligations in the Group’s contracts represent distinct or separate service streams that the Group provides to clients. If, at the outset of an arrangement, the Group determines that an enforceable contract does not exist, revenues are deferred until all criteria for an enforceable contract are met.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usually issues invoices to its customers and payment is usually due upon receipt of the invoice according to a mutually agreed-upon schedule outlined in contract terms stated.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ASC 606, the Company has evaluated whether it acts as a principal or an agent in its revenue transactions. The distinction is crucial as it affects how revenue is recognized: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Principal: The Company acts as the principal if it controls the specified goods or services before they are transferred to the customer. As a principal, the Company recognizes revenue for the gross amount of consideration expected from the customer.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Agent: The Company acts as an agent if it facilitates the provision of goods or services by another party. As an agent, revenue is recognized as the net amount of the fee or commission earned for arranging the goods or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determined that it acts as the principal for all the revenue. This conclusion is based on the Company’s control over the goods or services before they are transferred to the customer, its primary responsibility for fulfilling the contract, its exclusive right to select service providers, and its discretion in establishing pricing.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integrated investor relations services involve a series of distinct tasks that collectively meet the criteria for recognizing revenue over time monthly. The Group determines that the services provided each month are substantially similar in nature, with the client consuming a consistent benefit each month, even if the volume of services delivered varies. Consequently, the services are considered substantially similar and result in the transfer of substantially similar benefits to the client.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Based on this assessment, the Group concludes that the services provided satisfy the requirements of ASC 606-10-25-14(b) to be accounted for as a single performance obligation. Revenue from integrated investor relations services is therefore recognized on a monthly basis, as the Group satisfies its performance obligations throughout the contract term.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the client specifically requests services related to one-off investor relation tasks which are provided under separately agreed service agreement. One-off services provide promised services including event management and logistics, international road shows, brochure design and printing, update website content. Revenue for these services is recognized at a point in time when the Group has fully completed the agreed-upon deliverables, and the client has obtained control of the service output. This typically occurs when the specified deliverables are completed and transferred to the client, as outlined in the service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disaggregated by timing of revenue recognition for the years ended December 31, 2025, 2024 and 2023 is disclosed in the table below:</w:t>
      </w:r>
    </w:p>
    <w:p>
      <w:pPr>
        <w:spacing w:after="0" w:line="23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Over time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2,776,889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2,206,744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 – Point in Time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319,165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3,222,344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2,525,909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2"/>
        </w:trPr>
        <w:tc>
          <w:tcPr>
            <w:tcW w:w="103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Information for the Group’s revenue by geographical area of the customers for the years ended December 31, 2025, 2024 and 2023:</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2,318,605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631,056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115,340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3,222,344</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2,525,909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amounts of transaction prices allocated to the remaining performance obligations (unsatisfied or partially unsatisfied) as at December 31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4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Amounts expected to be recognized as revenue: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3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499,110</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116,787</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44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502,731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1,267,248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F-14</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3" w:name="page84"/>
    <w:bookmarkEnd w:id="83"/>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is mainly generated from savings and time deposits and is recognized on an accrual basis using the effective interest method.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revenue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revenue include the salaries, bonuses, and benefits of the Group’s employee consultants. Costs of revenue also include out-of-pocket and other third-party vendor expenses, and the salaries of support staff whose time is billed directly to clients, as well as the amounts billed to us by our outside consultants for services rendered while completing a project. Costs of revenue does not include depreciation and amortization.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contracts the Group enters into and operates under specify whether the projects are billed on a fixed-price basis. Fixed-price contracts are principally used for management consulting projects. In general, project costs are classified in costs of revenue and are based on the direct salary of the Group’s employee consultants on the engagement, plus all direct expenses incurred to complete the project, including any amounts billed to the Group by its non-employee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principal employee’s retirement scheme is under the Hong Kong Mandatory Provident Fund Schemes Ordinance. Contributions are made by both the employer and the employee at the rate of 5% on the employee’s relevant salary income, subject to a cap of monthly relevant income of HK$30,000 (US$3,844).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total amount charged to the consolidated statements of income in respect of the Company’s costs incurred on the Mandatory Provident Fund Scheme were US$50,738, US$24,297 and US$575,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accounts for income taxes pursuant to ASC Topic 740, Income Taxes. Income taxes are provided on an asset and liability approach for financial accounting and reporting of income taxes. Any tax paid by subsidiaries during the year is recorded. Current tax is based on the profit or loss from ordinary activities adjusted for items that are non-assessable or disallowable for income tax purpose and is calculated using tax rates that have been enacted or substantively enacted at the balance sheet date. ASC Topic 740 also requires the recognition of deferred tax assets and liabilities for both the expected impact of differences between the financial statements and the tax basis of assets and liabilities, and for the expected future tax benefit to be derived from tax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ASC Topic 740 additionally requires the establishment of a valuation allowance to reflect the likelihood of realization of deferred tax assets. Realization of deferred tax assets are dependent upon future earnings, if any, of which the timing and amount are uncertain.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adopted ASC Topic 740-10-05, “Income Taxes: Overview and Background”, which provides guidance for recognizing and measuring uncertain tax positions, it prescribes a threshold condition that a tax position must meet for any of the benefits of the uncertain tax position to be recognized in the financial statements. It also provides accounting guidance on derecognizing, classification and disclosure of these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operates and manages its business as a single segment, in accordance with ASC 280, Segment Reporting. The Group’s chief operating decision maker (“CODM”) is Mr. Cheung Kit Shing (a director and Chief Executive Officer of the Company). The Group’s CODM assess the Group’s performance and results of operations on a consolidated basis. The Group generates substantially all of its revenues from clients that are incorporated in the Hong Kong, China and United States. Although some clients are legally domiciled outside Hong Kong, the Group’s engagement and service execution are primarily conducted in Hong Kong. Accordingly, no geographical segments are presented. Substantially all of the Group’s long-lived assets are located in Hong Kong.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requires companies to present basic and diluted EPS. Basic EPS is measured as net income divided by the weighted average ordinary share outstanding for the period. Diluted EPS presents the dilutive effect on a per-share basis of the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Comprehensive Income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Group presents comprehensive income in accordance with ASC Topic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represents trade accounts due from customers for Integrated investor relations services which are recorded net of allowance for the Group’s doubtful accounts. The Group grants 30 days credit terms to the clients. The trade receivables are all without customer collateral and interest is not accrued on past due accounts.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The approach considers factors including historical ageing schedule and forward-looking macroeconomic conditions. Account balances are charged off against the allowance after all means of collection have been exhausted and the likelihood of collection is not probable. As of December 31, 2025 and 2024, no allowance for doubtful accounts was recognized, as management determined that expected credit losses were not material based on historical collection experience and other relevant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 No. 2016-13, Financial Instruments — Credit Losses (Topic 326): Measurement of Credit Losses on Financial Instruments requires entities to use a current lifetime expected credit loss methodology to measure impairments of certain financial assets. Accounts receivable are recognized and carried at original invoiced amount net of expected losses. The Company established the provision at differing rates and are based upon the age of the trade receivable, the Company’s historical collection experience in each customer and management’s best estimate of specific losses on individual exposures, where appropriate. Specific customer provisions are made when a review of significant outstanding amounts, utilizing information about customer creditworthiness and current economic trends, indicates that collection is doubtful.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&amp; administrative expenses primarily consist of accounting fees, consulting fees, information technology expenses, entertainment, director remuneration which are not attributable to the revenue-generating activities, wages and salaries, and overseas traveling expenses, among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expenses consist primarily of marketing expenses incurred to promote our Group’s brand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financial instruments, including cash and cash equivalents, deposits, accounts and other receivables, accrued liabilities, amount due from (to) a director, contract liabilities and operating lease liabilities. ASC Topic 820, “Fair Value Measurements and Disclosures” requires disclosing the fair value of financial instruments held by the Group. ASC Topic 825, “Financial Instruments” defines fair value and establishes a three-level valuation hierarchy for disclosures of fair value measurement that enhances disclosure requirements for fair value measures. The carrying amounts reported in the audited consolidated balance sheets for cash and cash equivalents, accounts and other receivables, accrued liabilities, amount due from (to) a director and operating lease liabilities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spacing w:after="0" w:line="192"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used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 The carrying amounts of the cash and cash equivalents, deposits, accounts and other receivables, accrued liabilities, amount due from (to) a director, contract liabilities and operating lease liabilities approximated their fair values as of December 31, 2025 and 2024 due to their short-term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2025, the Financial Accounting Standards Board (“FASB”) updated 2025-01: Income Statement — Reporting Comprehensive Income — Expense Disaggregation Disclosures (Subtopic 220-40): Clarifying the Effective Date. Public business entities must adopt the guidance in Update 2024-03 for annual reporting periods beginning after December 15, 2026, and interim periods within annual reporting periods beginning after December 15, 2027. The update clarifies that all public business entities should initially adopt the disclosure requirements in the first annual reporting period beginning after December 15, 2026, and interim reporting periods within annual reporting periods beginning after December 15, 2027. The Company is evaluating the impact the updated guidance will have on its combined financial statements and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 (1) all entities with a practical expedient and (2) entities other than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annual reporting periods beginning after December 15, 2025, and interim reporting periods within those annual reporting periods. Early adoption is permitted. This ASU should be applied prospectively. The Group is currently evaluating the impact of this new standard on its consolidated financial statements.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This update improves U.S. GAAP by establishing authoritative guidance on the accounting for government grants received by business entities. For public business entities, the amendments are effective for annual reporting periods beginning after December 15, 2028, and interim reporting periods within those annual reporting periods. The Company is currently in the process of evaluating the impact this amended guidance may have on its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which clarifies the application of interim reporting guidance and improves the organization’s required interim disclosures. The standard is effective for interim reporting periods beginning after December 15, 2027 for public business entities. Early adoption is permitted. The Company is evaluating the effect of adopting ASU 2025-11.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(“ASU 2025-12”), which makes thirty-three incremental improvements to generally accepted accounting principles. ASU 2025-12 is effective for all entities for annual reporting periods beginning after December 15, 2026, and interim reporting periods within those annual reporting periods. The Company is currently evaluating the impact of ASU 2025-12 on its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the above-mentioned pronouncements, there are no new recent issued accounting standards that will have material impact on the consolidated balance sheets, statements of operations and comprehensive income and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NOTE 3 — ACCOUNTS RECEIVABLE, NET</w:t>
            </w:r>
          </w:p>
        </w:tc>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expected credit loss</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gridSpan w:val="2"/>
            <w:vMerge w:val="continue"/>
            <w:shd w:val="clear" w:color="auto" w:fill="CCEEFF"/>
          </w:tcPr>
          <w:p>
            <w:pPr>
              <w:spacing w:after="0"/>
              <w:rPr>
                <w:sz w:val="21"/>
                <w:szCs w:val="21"/>
                <w:color w:val="auto"/>
              </w:rPr>
            </w:pPr>
          </w:p>
        </w:tc>
        <w:tc>
          <w:tcPr>
            <w:tcW w:w="40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238,973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87" w:name="page88"/>
    <w:bookmarkEnd w:id="87"/>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NOTE 4 — DEPOSITS AND OTHER ASSETS, NET</w:t>
            </w: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Deposits and other assets,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255,578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11,249</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classified as non-current assets (Note a)</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(18,593)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classified as current assets (Note b)</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11,249</w:t>
            </w:r>
          </w:p>
        </w:tc>
        <w:tc>
          <w:tcPr>
            <w:tcW w:w="0" w:type="dxa"/>
            <w:vAlign w:val="bottom"/>
          </w:tcPr>
          <w:p>
            <w:pPr>
              <w:spacing w:after="0"/>
              <w:rPr>
                <w:sz w:val="1"/>
                <w:szCs w:val="1"/>
                <w:color w:val="auto"/>
              </w:rPr>
            </w:pPr>
          </w:p>
        </w:tc>
      </w:tr>
      <w:tr>
        <w:trPr>
          <w:trHeight w:val="21"/>
        </w:trPr>
        <w:tc>
          <w:tcPr>
            <w:tcW w:w="4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security deposit related to the lease disclosed in Note 7 which expected to be utilized or recovered after 12 months.</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and deposits expected to be utilized or recovered within 12 months after the balance sheet date are classified as current.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53,410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68,362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 (Note 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524,199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tcPr>
          <w:p>
            <w:pPr>
              <w:spacing w:after="0"/>
              <w:rPr>
                <w:sz w:val="17"/>
                <w:szCs w:val="17"/>
                <w:color w:val="auto"/>
              </w:rPr>
            </w:pPr>
          </w:p>
        </w:tc>
        <w:tc>
          <w:tcPr>
            <w:tcW w:w="47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692,227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75,215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(33,592)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658,635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construction in progress of $524,199 relates to fit-out of a new club-house. The construction is expected to be completed and the asset placed in service by February 2026, at which point depreciation will commence over an estimated useful life of 5 years. No borrowing costs were capitalized in connection with this construction during the year ended December 31,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$50,585, $33,134 and nil respectively. No impairment loss was recognized for the years ended December 31,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DEFERRED INITIAL PUBLIC OFFERING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Group has capitalized deferred offering costs which consist primarily of legal, accounting, and other professional fees incurred in connection with the Company’s planned initial public offering (IPO). These costs are included as Deferred IPO Costs on the consolidated balance sheet as non-current assets. Upon the successful completion of the IPO on August 8, 2025, these costs were reclassified as a reduction in shareholders’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2024, deferred initial public offering costs consist of the following:</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and other fees</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84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97,292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181,688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payments for offering costs related to the IPO amounted to $1,192,106, together with deferred IPO costs of $181,688 incurred in prior years, the total of $1,373,794 was deducted from the gross proceeds of the IPO and credited to additional paid-in capital in the consolidated statements of changes in shareholders’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528" w:gutter="0" w:footer="0" w:header="0"/>
        </w:sectPr>
      </w:pPr>
    </w:p>
    <w:bookmarkStart w:id="88" w:name="page89"/>
    <w:bookmarkEnd w:id="88"/>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LEASES</w:t>
      </w:r>
    </w:p>
    <w:p>
      <w:pPr>
        <w:spacing w:after="0" w:line="229" w:lineRule="exact"/>
        <w:rPr>
          <w:sz w:val="20"/>
          <w:szCs w:val="20"/>
          <w:color w:val="auto"/>
        </w:rPr>
      </w:pPr>
    </w:p>
    <w:p>
      <w:pPr>
        <w:jc w:val="both"/>
        <w:ind w:firstLine="1080"/>
        <w:spacing w:after="0" w:line="254" w:lineRule="auto"/>
        <w:rPr>
          <w:sz w:val="20"/>
          <w:szCs w:val="20"/>
          <w:color w:val="auto"/>
        </w:rPr>
      </w:pPr>
      <w:r>
        <w:rPr>
          <w:rFonts w:ascii="Times New Roman" w:cs="Times New Roman" w:eastAsia="Times New Roman" w:hAnsi="Times New Roman"/>
          <w:sz w:val="18"/>
          <w:szCs w:val="18"/>
          <w:color w:val="auto"/>
        </w:rPr>
        <w:t>The Group has operating leases for office spaces. During the year ended December 31, 2025, the Group early-terminated one operating lease for office space prior to its contractual expiry. As a result, the associated right-of-use asset of $27,071 and lease liability of $27,071 were derecognized. As the carrying amount of the right-of-use asset equaled the remaining lease liability at the date of termination, no gain or loss was recognized in the consolidated statements of operations and comprehensive income. During the year ended December 31, 2025, the Group entered a new operating lease which $ 2,140,510 right-of-use assets obtained in exchange for new operating lease obligations related to the lease of clubhouse premises as described in Note 15. As of December 31, 2025 and 2024, there were approximately $2,081,612 and $53,418 right of use (“ROU”) assets and approximately $2,081,612 and $53,418 lease liabilities based on the present value of the future minimum rental payments of leases, respectively. The Group’s management believes that using an incremental borrowing rate of the Hong Kong Dollar Prime lending Rate ranged from 5% to 5.25% p.a. (2024: 5.25% p.a.) was the most indicative rate of the Group’s borrowing cost for the calculation of the present value of the lease payments.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2025 and 2024, lease liabilities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1,580,015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2,081,612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statements of income and supplemental cash flow information related to operating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3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45,767</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vMerge w:val="continue"/>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2,140,510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w w:val="92"/>
              </w:rPr>
              <w:t>95,174</w:t>
            </w:r>
          </w:p>
        </w:tc>
        <w:tc>
          <w:tcPr>
            <w:tcW w:w="1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operating leases</w:t>
            </w:r>
          </w:p>
        </w:tc>
        <w:tc>
          <w:tcPr>
            <w:tcW w:w="2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2"/>
              </w:rPr>
              <w:t>45,767</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lease information is as follows:</w:t>
            </w: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98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4.6 years</w:t>
            </w:r>
          </w:p>
        </w:tc>
        <w:tc>
          <w:tcPr>
            <w:tcW w:w="2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14"/>
        </w:trPr>
        <w:tc>
          <w:tcPr>
            <w:tcW w:w="87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operating leases as of December 31, 2025:</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980" w:type="dxa"/>
            <w:vAlign w:val="bottom"/>
            <w:tcBorders>
              <w:bottom w:val="single" w:sz="8" w:color="CCEEFF"/>
            </w:tcBorders>
          </w:tcPr>
          <w:p>
            <w:pPr>
              <w:spacing w:after="0"/>
              <w:rPr>
                <w:sz w:val="21"/>
                <w:szCs w:val="21"/>
                <w:color w:val="auto"/>
              </w:rPr>
            </w:pPr>
          </w:p>
        </w:tc>
        <w:tc>
          <w:tcPr>
            <w:tcW w:w="23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487,988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419,359</w:t>
            </w: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2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419,359</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lease obligations</w:t>
            </w:r>
          </w:p>
        </w:tc>
        <w:tc>
          <w:tcPr>
            <w:tcW w:w="23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2,347,508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(265,896)</w:t>
            </w: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 recognized in the consolidated balance sheet</w:t>
            </w:r>
          </w:p>
        </w:tc>
        <w:tc>
          <w:tcPr>
            <w:tcW w:w="23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2,081,612</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580" w:type="dxa"/>
            <w:vAlign w:val="bottom"/>
            <w:gridSpan w:val="2"/>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F-20</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89" w:name="page90"/>
    <w:bookmarkEnd w:id="89"/>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CONTRACT LIABILITIES</w:t>
      </w:r>
    </w:p>
    <w:p>
      <w:pPr>
        <w:spacing w:after="0" w:line="23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Contract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396,887</w:t>
        <w:tab/>
        <w:t>$</w:t>
      </w:r>
      <w:r>
        <w:rPr>
          <w:sz w:val="20"/>
          <w:szCs w:val="20"/>
          <w:color w:val="auto"/>
        </w:rPr>
        <w:tab/>
      </w:r>
      <w:r>
        <w:rPr>
          <w:rFonts w:ascii="Times New Roman" w:cs="Times New Roman" w:eastAsia="Times New Roman" w:hAnsi="Times New Roman"/>
          <w:sz w:val="18"/>
          <w:szCs w:val="18"/>
          <w:color w:val="auto"/>
        </w:rPr>
        <w:t>958,314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51435</wp:posOffset>
            </wp:positionV>
            <wp:extent cx="15601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represented advances from clients related to integrated investor relations service on the Group’s consolidated balance sheets. Revenue is recognized as the Group satisfies its performance obligations under each client arrangement in accordance with ASC 606. The Group’s contract liabilities are generally recognized as revenue within one year. For the years ended December 31, 2025 and 2024, the Group recognized $958,314 and nil, respectively, of revenue that was included in the contract liabilities balance at the beginning of each period. The balance of $396,887 as at December 31, 2025 relates to performance obligations that remained unsatisfied or partially unsatisfied as at that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SEGMENT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management approach considers the internal organization and reporting used by the Company’s chief operating decision maker (“CODM”), Mr. Cheung Kit Shing (a director and Chief Executive Officer of the Company), for making decisions, allocating resources and assessing performance.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CODM reviews financial information on a consolidated basis and uses the consolidated net income, as reported on the consolidated statements of operations and comprehensive income, to assess performance of the Company and to allocate resources as part of the annual reporting process and to assess the performance of the Company’s single reportable segment, primarily by monitoring actual results versus the plan.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significant expenses reviewed by the CODM are consolidated operating expenses, as presented in the consolidated statement of operations and comprehensive income. Consolidated operating expenses include direct costs, selling expenses and general and administrative expenses. General and administrative expenses include staff costs (including directors’ remuneration) $362,128, $153,838 and $13,348 for the year ended December 31, 2025, 2024 and 2023 respectively and depreciation and amortization expense, which are disclosed in Note 5, “Property, Plant and Equipment, net” and Note 7, “Leases”. Other segment items consist of interest expense and other income, as presented in the consolidated statement of operations.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segment items for the years ended December 31, 2025, 2024 and 2023, expenses totaled $27,636, $3,684, and nil, respectively, and consisted of:</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expenses of $50,516, $3,770 and nil,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of $22,880, $86 and nil,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utilize consolidated balance sheet information when evaluating performance or allocating resources.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and as of December 31, 2025, the Company operated in Hong Kong through its subsidiary, Etoiles Consultancy, which primarily engaged in integrated investor relations services. Based on the management’s assessment, the Company determined that it has only one operating segment and therefore one reportable segment as defined by ASC 280. For the year ended December 31, 2025, 80% and 20% of the Company’s total revenue contributed within Hong Kong and China, respectively, and 99% and 1% of the Company’s total assets contributed within Hong Kong and China,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92%, 5% and 3% of the Company’s total revenue contributed within Hong Kong, China and United States, respectively, and 100% of the Company’s total assets contributed within Hong Kong.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determined that the Company functions as a single operating segment, and thus reports as a single reportable segment. This determination is based on rules prescribed by GAAP applied to the manner in which management operates the Company. The chief operating decision maker is responsible for allocating resources to its operations and assessing performance and obtains financial information, being the consolidated balance sheets, consolidated statements of operations, and consolidated statements of cash flows, about the Company as a whole.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incorporated as an exempted company with limited liability on September 13, 2024, under the laws of the Cayman Islands. It is a holding company and does not actively engage in any business. According to its memorandum and articles of association adopted at incorporation, the authorized share capital of the Company was US$50,000 divided into 500,000,000 ordinary shares with a par value of USD 0.0001 each.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4, 2024, the Company re-designated its authorized share capital from US$50,000 divided into 500,000,000 ordinary shares with a par value of USD 0.0001 each to US$50,000 divided into (i) 450,000,000 Class A Ordinary Shares of par value of US$0.0001 each and (ii) 50,000,000 Class B Ordinary Shares of par value of US$0.0001 each by re-designating 449,990,000 authorized but unissued ordinary shares of par value USD$0.0001 each into 449,990,000 Class A Ordinary Shares, and 50,000,000 authorized but unissued ordinary shares of par value USD$0.0001 each into 50,000,000 Class B Ordinary Shares, and by re-designating 10,000 issued ordinary shares owned by Etoiles Zeneo Investment Limited into 10,000 Class A Ordinary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same date, the Company issued 13,490,000 Class A Ordinary Shares and 10,000,000 Class B Ordinary Shares to Etoiles Zeneo Investment Limited. Subsequently, Etoiles Zeneo Investment Limited entered into Sale and Purchase Agreements with several entities, transferring portions of its Class A Ordinary Shares. As a result, the ownership structure of the Company was as follows: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8, 2025, Etoiles Zeneo Investment Limited voluntarily surrendered 5,000,000 Class B Ordinary Shares to the Company for cancellation for no consideration. As a result, the total number of Class B Ordinary Shares outstanding was reduced from 10,000,000 to 5,000,000. The number of Class B ordinary shares has been retroactively adjusted to reflect the Surrendered Shares in the consolidated financial statements for the years ended December 31, 2024 and 2023. The Group reorganization has been disclosed in Note 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10,287,000 Class A Ordinary Shares and 5,000,000 Class B Ordinary Shares held by Etoiles Zeneo Investment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661,500 Class A Ordinary Shares held by Doublefortuna Company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621,000 Class A Ordinary Shares held by Easy Cargo Management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634,500 Class A Ordinary Shares held by Enbo Holdings Group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634,500 Class A Ordinary Shares held by La Dicha Group Limited;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661,500 Class A Ordinary Shares held by Quantum Pinnacle Company Limited.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8, 2025, the Company completed its initial public offering of 1,400,000 Class A Ordinary Shares at a price of $4.00 per share, raising gross proceeds of $5,600,000. Subsequently, the underwriters exercised their overallotment option in full, resulting in the issuance of an additional 210,000 Class A Ordinary Shares, contributing $840,000 in additional gross proceeds. Total aggregate gross proceeds from the IPO and overallotment were $6,440,000, prior to deducting underwriting discounts, commissions, and offering expenses. The net proceeds $5,066,046 was credited to additional paid in capital under consolidated statements of changes in shareholders’ equity for the year ended December 31, 2025 after deducting underwriting discounts, commissions, and offering expenses amounted $1,373,794.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out of any funds of the Company lawfully available for distribution. In addition, our Shareholders may declare dividends by ordinary resolution, but not dividend shall exceed the amount recommended by our directors. Under the laws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declared or paid any dividends since its incorporation. The Company currently intends to retain all future earnings for use in the operation and expansion of its business. Any future determination to pay dividends will be at the discretion of the Board of Directors and will depend on the Company's financial condition, results of operations, capital requirements, and other factors the Board deems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matters submitted to a vote by the members at any general meeting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Ordinary Shares may vote on all matters submitted to a vote of our shareholders, except as may otherwise be required by law. Subject to any rights or restrictions as to voting attached to any shares, on a poll every shareholder present in person or by proxy (or, if a corporation or other non-natural person, by its duly authorized representative or proxy) shall have one vote for each Class A Ordinary Share and 10 votes for each Class B Ordinary Share of which he or the person represented by proxy is the holder. As of December 31, 2025, the holders of Class B Ordinary Shares collectively hold approximately 77% of the total voting power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HK SAR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Employees of the Company located in Hong Kong participate in a compulsory saving scheme (pension fund) for the retirement of residents in Hong Kong. Employees are required to contribute monthly to mandatory provident fund schemes provided by approved private organizations, according to their salaries and the period of employment. The Group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 and subject to a cap of monthly relevant income of HK$30,000 (US$3,844).</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Group recognized mandatory provident fund expense amounted $50,738, $24,297 and $575, respectively and included in the cost of revenue and general and administrative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 and British Virgin Islands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incorporated in Cayman Islands and Zynergy BVI is incorporated in the British Virgin Islands and are not subject to tax on income or capital gains under current Cayman Islands law and British Virgin Islands law, respectively. In addition, upon payments of dividends by these entities to their shareholders, no withholding tax will be imposed.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relevant tax laws and regulations of Hong Kong, a company registered in Hong Kong is subject to income taxes within Hong Kong at the applicable tax rate on taxable income. Hong Kong profit tax rates are 8.25% on assessable profits up to US$255,428 (HK$2,000,000), and 16.5% on any part of assessable profits over US$255,428 (HK$2,000,000).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Significant components of the provision for income taxes are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expenses (credit)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144,417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the reconciliation of the differences between statutory and effective tax expenses for the year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tax expenses</w:t>
            </w:r>
          </w:p>
        </w:tc>
        <w:tc>
          <w:tcPr>
            <w:tcW w:w="2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996,916</w:t>
            </w: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Hong Kong profit tax rate</w:t>
            </w: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Hong Kong Profits Tax rate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164,491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allowance at the statutory tax rates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113,474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income that is not taxable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expenses that are non-deductible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tax loss not recognized</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two-tier tax rate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(21,166)</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(21,146)</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deductible temporary difference</w:t>
            </w:r>
          </w:p>
        </w:tc>
        <w:tc>
          <w:tcPr>
            <w:tcW w:w="2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10,762</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94,116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144,417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1556"/>
              <w:spacing w:after="0"/>
              <w:rPr>
                <w:sz w:val="20"/>
                <w:szCs w:val="20"/>
                <w:color w:val="auto"/>
              </w:rPr>
            </w:pPr>
            <w:r>
              <w:rPr>
                <w:rFonts w:ascii="Times New Roman" w:cs="Times New Roman" w:eastAsia="Times New Roman" w:hAnsi="Times New Roman"/>
                <w:sz w:val="18"/>
                <w:szCs w:val="18"/>
                <w:color w:val="auto"/>
              </w:rPr>
              <w:t>F-24</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3" w:name="page94"/>
    <w:bookmarkEnd w:id="93"/>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12 — INCOME TAXES </w:t>
      </w:r>
      <w:r>
        <w:rPr>
          <w:rFonts w:ascii="Times New Roman" w:cs="Times New Roman" w:eastAsia="Times New Roman" w:hAnsi="Times New Roman"/>
          <w:sz w:val="18"/>
          <w:szCs w:val="18"/>
          <w:u w:val="single" w:color="auto"/>
          <w:color w:val="auto"/>
        </w:rPr>
        <w:t>(cont.)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Deferred tax</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deferred tax assets and liabilities based on the difference between carrying amount of assets and liabilities and their respective tax bases at the applicable tax rate. Components of the Company’s deferred tax assets and liabilities are as follows as of December 31:</w:t>
      </w:r>
    </w:p>
    <w:p>
      <w:pPr>
        <w:spacing w:after="0" w:line="17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24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 Property, plant and equipment,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(11,354)</w:t>
        <w:tab/>
        <w:t>$</w:t>
      </w:r>
      <w:r>
        <w:rPr>
          <w:sz w:val="20"/>
          <w:szCs w:val="20"/>
          <w:color w:val="auto"/>
        </w:rPr>
        <w:tab/>
      </w:r>
      <w:r>
        <w:rPr>
          <w:rFonts w:ascii="Times New Roman" w:cs="Times New Roman" w:eastAsia="Times New Roman" w:hAnsi="Times New Roman"/>
          <w:sz w:val="18"/>
          <w:szCs w:val="18"/>
          <w:color w:val="auto"/>
        </w:rPr>
        <w:t>4,539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51435</wp:posOffset>
            </wp:positionV>
            <wp:extent cx="156019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each uncertain tax position (including the potential application of interest and penalties) based on the technical merits, and measures the unrecognized benefits associated with the tax positions. As of December 31, 2025 and 2024, the Company did not have any significant unrecognized uncertain tax positions. The Company did not incur any interest and penalties related to potential underpaid income taxes for the years ended December 31, 2025 and 2024. The Company also does not anticipate any significant increases or decreases in unrecognized tax benefits in the next 12 months from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CONCENTRATION AND CREDIT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top two customers accounted for 24% of the gross revenue generated for that year (2024: 22%). The entire accounts receivable is due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customers (2024: one). For the year ended December 31, 2025, one supplier for 39% (2024: 36%) of the total gross cost of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RISKS</w:t>
      </w:r>
    </w:p>
    <w:p>
      <w:pPr>
        <w:spacing w:after="0" w:line="229" w:lineRule="exact"/>
        <w:rPr>
          <w:sz w:val="20"/>
          <w:szCs w:val="20"/>
          <w:color w:val="auto"/>
        </w:rPr>
      </w:pPr>
    </w:p>
    <w:p>
      <w:pPr>
        <w:ind w:left="660" w:right="9100" w:hanging="4"/>
        <w:spacing w:after="0" w:line="530" w:lineRule="auto"/>
        <w:tabs>
          <w:tab w:leader="none" w:pos="98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risk Interest rate risk</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interest rate risk through the changes in interest rates related mainly to the Company’s bank balances, which was considered minimal as the bank balances are only in current accounts and saving accounts.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does not have any hedging policy in relation to interest rate risk. The directors monitor the Company’s exposures on an ongoing basis and will consider hedging the interest rate should the need arise.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Sensitivity analysis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sensitivity analysis below has been determined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Group has no interest-bearing borrowings, a 1% increase or decrease in interest rates would have no material impact on the Group’s post-tax loss/income for the year ended December 31, 2025, and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Credit risk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cash equivalents, accounts receivable and other current assets. The Hong Kong Deposit Protection Board pays compensation up to a limit of HK$800,000 (approximately US$102,991) if the bank with which an individual/a company hold its eligible fails. As of December 31, 2025, and 2024, cash and cash equivalents balance of US$5,426,805 and US$1,441,024 were at financial institutions in Hong Kong and approximately US$5,214,377 and US$1,338,033 were not covered by the Hong Kong Deposit Protection Board. The Company believes that there is no significant credit risk associated with cash and cash equivalents, which were held by reputable financial institutions in the jurisdictions where the Company and its subsidiaries are located. In addition, the management monitors counterparty credit quality on a going basis.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designed their credit policies with an objective to minimize their exposure to credit risk. The Company’s accounts receivable is short term in nature and the associated risk is minimal. The Company conducts credit evaluations on its clients and generally does not require collateral or other security from such clients. The Company periodically evaluates the creditworthiness of the existing clients in determining an allowance for credit loss primarily based upon the age of the receivables and factors surrounding the credit risk of specific clients.</w:t>
      </w:r>
    </w:p>
    <w:p>
      <w:pPr>
        <w:spacing w:after="0" w:line="18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Foreign currency risk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Foreign currency risk is the risk that the holding of foreign currency balances will affect the Company’s financial position as a result of a change in foreign currency exchange rates.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U.S. Dollar. To date the majority of the revenues and costs are denominated in HK$ and a significant portion of the assets and liabilities are denominated in Hong Kong Dollars. There was no significant exposure to foreign exchange rate fluctuations. and the Company has not maintained any hedging policy against foreign currency risk. However, the directors monitor the related foreign currency exposure closely and will consider hedging significant foreign currency exposures should the need arise. As HK$ is currently pegged to US$, the Group’s exposure to foreign exchange fluctuations is minimal.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Moreover, the Company’s monetary assets and liabilities are mainly denominated in HK$, which are the same as the functional currencies of the relevant group entities. Hence, in the opinion of the directors of the Company, the currency risk of US$ is considered insignificant.</w:t>
      </w:r>
    </w:p>
    <w:p>
      <w:pPr>
        <w:spacing w:after="0" w:line="16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Liquidity risk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Typically, the Company ensures that it has sufficient cash on demand to meet expected operational expenses for a period of 30 days, including the servicing of financial obligations; this excludes the potential impact of extreme circumstances that cannot reasonably be predicted, such as natural disasters.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left="3020"/>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Balances with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due from (to) a director</w:t>
      </w:r>
    </w:p>
    <w:p>
      <w:pPr>
        <w:spacing w:after="0" w:line="23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19685</wp:posOffset>
            </wp:positionV>
            <wp:extent cx="15430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30"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 w:lineRule="exact"/>
        <w:rPr>
          <w:sz w:val="20"/>
          <w:szCs w:val="20"/>
          <w:color w:val="auto"/>
        </w:rPr>
      </w:pPr>
    </w:p>
    <w:p>
      <w:pPr>
        <w:spacing w:after="0"/>
        <w:tabs>
          <w:tab w:leader="none" w:pos="7880" w:val="left"/>
          <w:tab w:leader="none" w:pos="8680" w:val="left"/>
          <w:tab w:leader="none" w:pos="924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Mr. Cheung Kit Shing</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(39,392)</w:t>
        <w:tab/>
        <w:t>$</w:t>
      </w:r>
      <w:r>
        <w:rPr>
          <w:sz w:val="20"/>
          <w:szCs w:val="20"/>
          <w:color w:val="auto"/>
        </w:rPr>
        <w:tab/>
      </w:r>
      <w:r>
        <w:rPr>
          <w:rFonts w:ascii="Times New Roman" w:cs="Times New Roman" w:eastAsia="Times New Roman" w:hAnsi="Times New Roman"/>
          <w:sz w:val="18"/>
          <w:szCs w:val="18"/>
          <w:color w:val="auto"/>
        </w:rPr>
        <w:t>309,507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51435</wp:posOffset>
            </wp:positionV>
            <wp:extent cx="15430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5430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27" w:lineRule="exact"/>
        <w:rPr>
          <w:sz w:val="20"/>
          <w:szCs w:val="20"/>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advanced to (by) a director for advancement and reimbursement of Company expenses. Amount due from (to) a director is unsecured, non-interest bearing and repayable on demand.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Related Party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transactions and balances detailed elsewhere in these consolidated financial statements, the Company had the following transactions with related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trade transactions with related parties for years ended December 31, 2025, 2024 and 2023 are listed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Salary paid to a related party:</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57"/>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Mr. Cheung Kit Shing</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151,624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153,787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25,545</w:t>
            </w:r>
          </w:p>
        </w:tc>
      </w:tr>
      <w:tr>
        <w:trPr>
          <w:trHeight w:val="39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Cheung On Ki</w:t>
            </w:r>
            <w:r>
              <w:rPr>
                <w:rFonts w:ascii="Times New Roman" w:cs="Times New Roman" w:eastAsia="Times New Roman" w:hAnsi="Times New Roman"/>
                <w:sz w:val="29"/>
                <w:szCs w:val="29"/>
                <w:color w:val="auto"/>
                <w:vertAlign w:val="superscript"/>
              </w:rPr>
              <w:t>(b)</w:t>
            </w: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74,654</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32,039</w:t>
            </w: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01"/>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Rental expenses paid to a related party:</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Mr. Cheung Kit Shing</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2025, the Company entered into a lease agreement with a director, Mr. Cheung Kit Shing, pursuant to which the Company leases a property to be used as a clubhouse for corporate and client engagement purposes.</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commenced on August 1, 2025 and will expire on December 31, 2030. The lease was reviewed and approved by the independent and non-conflicted members of the Board of Directors. The monthly rent of $34,917 was determined with reference to prevailing market rates for comparable commercial properties and represents, in management's assessment, a fair market rate for the premises. The lease provides for a rent-free period from August 1, 2025, to December 31, 2025 to allow for renovation and interior decoration of the premises. Accordingly, no rental payments were made during this rent-free period.</w:t>
      </w:r>
    </w:p>
    <w:p>
      <w:pPr>
        <w:spacing w:after="0" w:line="18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clubhouse is currently undergoing renovation and interior decoration. As of December 31, 2025, the property was not yet ready for use and had not commenced operations. The up-front payment of $524,199 is recognized as construction in progress (Note 5) as of December 31, 2025. The Company expects the clubhouse to be completed and ready to provide services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Cheung Kit Shing is the director, Chief Executive Officer and a principal shareholder of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Cheung On Ki, is a sibling of a director, Mr. Cheung Kit Shing.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December 31, 2025 and 2024, the Company did not have any significant capital and other 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 In the opinion of management, there were no pending or threatened claims and litigation as of December 31, 2025 and through the issuance date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assessed all events from December 31, 2025, through May 13, 2026 which is the date that these consolidated financial statements are available to be issued. There are not any material subsequent events that require disclosure in these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96"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SECURITES REGISTERED UNDER SECTION 12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 (the “Exchange Act”)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Amended Memorandum and Articles, as amended from time to time, and the Companies Act (As Revised) of the Cayman Islands, which we refer to as the Companies Act below, and the common law of Cayman Islands.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capital of the Company consists of Ordinary Shares. As of the date hereof, our authorized share capital is US$50,000 divided into 500,000,000 Ordinary Shares of par value US$0.0001 each, comprising of (i) 450,000,000 Class A Ordinary Shares of nominal or par value of US$0.0001 each, and (ii) 50,000,000 Class B Ordinary Shares of nominal or par value US$0.0001 each. As of the date of this annual report, 15,110,000 Class A Ordinary Shares and 5,000,000 Class B Ordinary Shares were issued and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Memorandum and Articles (each the Amended Memorandum and the Amended Articles) and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Amended Memorandum and Articles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Amended Memorandum and Articles, the objects of our Company are unrestricted and we have the full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carry out any object not prohibited by the laws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authorized share capital is US$50,000 divided into 500,000,000 Ordinary Shares of par value US$0.0001 each, comprising of</w:t>
      </w:r>
    </w:p>
    <w:p>
      <w:pPr>
        <w:spacing w:after="0" w:line="29" w:lineRule="exact"/>
        <w:rPr>
          <w:sz w:val="20"/>
          <w:szCs w:val="20"/>
          <w:color w:val="auto"/>
        </w:rPr>
      </w:pPr>
    </w:p>
    <w:p>
      <w:pPr>
        <w:jc w:val="both"/>
        <w:ind w:firstLine="8"/>
        <w:spacing w:after="0" w:line="255"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Class A Ordinary Shares of nominal or par value of US$0.0001 each, and (ii) 50,000,000 Class B Ordinary Shares of nominal or par value US$0.0001 each. All of our outstanding Ordinary Shares are fully paid and non-assessable. Certificates representing the Ordinary Shares are issued in registered form.</w:t>
      </w:r>
    </w:p>
    <w:p>
      <w:pPr>
        <w:spacing w:after="0" w:line="1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In no event shall Class A Ordinary Shares be convertible into Class B Ordinary Shares. Each Class B Ordinary Share is convertible into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paid Class A Ordinary Share at the option of the holder, at any time after issue and without the payment of any additional sum.</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out of any funds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lawfully available for distribution. In addition, our Shareholders may declare dividends by ordinary resolution, but not dividend shall exceed the amount recommended by our directors. Under the laws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Ordinary Shares and Class B Ordinary Shares shall, at all times, vote together as one class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by the members at any general meeting of the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Ordinary Shares may vote on all matters submitted to a vote of our shareholders, except as may otherwise be required by law. Subject to any rights or restrictions as to voting attached to any shares, on a poll every shareholder present in person or by proxy (or, if a corporation or other non-natural person, by its duly authorized representative or proxy) shall have one vote for each Class A Ordinary Share and 10 votes for each Class B Ordinary Share of which he or the person represented by proxy is the holder.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a poll. A poll shall be taken in such manner as the chairman directs. He may appoint scrutineers (who need not be shareholders)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Any ordinary resolution is a resolution passed by a simple majority of the votes of the shareholders as, being entitled to do so, vote in person or by proxy at a general meeting of our Company and includes a written resolution signed by the required majority of shareholders according to the Amended Articles. Any special resolution is a resolution of a general meeting or a resolution of a meeting of the holders of any class of ordinary shares in a class meeting duly constituted in accordance with the Amended Articles in each case passed by a majority of not less than two-thirds of the votes by the shareholders as being entitled to do so vote in person or by proxy at that meeting. The expression includes a unanimous written resolution signed by all of the shareholders entitled to vote at such meeting.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amending our memorandum and articles of association or changing the name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limitations on non-residents or foreign shareholders to hold or exercise voting rights on the Ordinary Shares imposed by Cayman Islands law or by the Amended Memorandum and Articles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 annual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Our Amended Memorandum and Articles provide that we may (but are not obliged to, unless required by the Nasdaq rules) in each year hold a general meeting as an annual general meeting, which, if held, shall be convened by the board of directors, in accordance with the Amended Articles Each general meeting, other than an annual general meeting, shall be an extraordinary general meeting.</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 notice of at least five clear days is required for the convening of our annual general shareholders’ meeting (if any) and any other general meeting of our Shareholders. A quorum required for a meeting of shareholders consists of at least one holder of Shares being not less than an aggregate of one-third of the outstanding shares carrying the right to vote at such general meeting.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directors may call general meetings and they shall on a shareholders’ requisition forthwith proceed to convene an extraordinary general meeting of our Company. A shareholders’ requisition is a request of one or more shareholders holding as at the date of deposit of the request in aggregate not less than ten percent of the rights to vote at such general meeting. The requisition must state the objects of the meeting and must be signed by or on behalf of each requisitioner and delivered in accordance with the notice provisions of our Amended Articles. If our directors do not within 21 clear days from the receipt of the requisition duly proceed to convene a general meeting, the requisitioners, or any of them may themselves convene a general meeting, but any meeting so convened must be called no later than three months after the expiration of the said 21 clear day period.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Winding Up; Liquidation. </w:t>
      </w:r>
      <w:r>
        <w:rPr>
          <w:rFonts w:ascii="Times New Roman" w:cs="Times New Roman" w:eastAsia="Times New Roman" w:hAnsi="Times New Roman"/>
          <w:sz w:val="18"/>
          <w:szCs w:val="18"/>
          <w:color w:val="auto"/>
        </w:rPr>
        <w:t>If we are wound up the shareholders may, subject to the Amended Articles and any other sanction required by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pass a special resolution allowing the liquidator to do either or both of the following:</w:t>
      </w:r>
    </w:p>
    <w:p>
      <w:pPr>
        <w:spacing w:after="0" w:line="160" w:lineRule="exact"/>
        <w:rPr>
          <w:sz w:val="20"/>
          <w:szCs w:val="20"/>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shareholders the whole or any part of the assets of the Company and, for that purpose, to value any assets and to determine how the division shall be carried out as between the shareholders or different classes of shareholders; and/or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shareholders and those liable to contribute to the winding up.</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the terms of the allotment, our directors may from time to time make calls upon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respect of any moneys unpaid on their shares in a notice served to such shareholders at least 14 clear days in advance specifying the time and place for payment. Any Ordinary Shares that have been called upon and remain unpaid are subject to forfeiture.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Subject to the terms of the Companies Act and to any rights for the time being conferred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holding a particular class of shares, the Company may by our board of directors: (i) issue shares that are to be redeemed or liable to be redeemed, at the option of the Company or the shareholder holding those redeemable shares, on the terms and in the manner our board of directors determine before the issue of those shares; (ii) with the consent by special resolution of the shareholders holding shares of a particular class, vary the rights attaching to that class of shares so as to provide that those shares are to be redeemed or are liable to be redeemed at the option of the Company on the terms and in the manner which the board of directors determine at the time of such variation; and (iii) purchase all or any of our own shares of any class including any redeemable shares on the terms and in the manner which our board of directors determine at the time of such purchase.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w:t>
      </w:r>
    </w:p>
    <w:p>
      <w:pPr>
        <w:spacing w:after="0" w:line="6" w:lineRule="exact"/>
        <w:rPr>
          <w:sz w:val="20"/>
          <w:szCs w:val="20"/>
          <w:color w:val="auto"/>
        </w:rPr>
      </w:pPr>
    </w:p>
    <w:p>
      <w:pPr>
        <w:ind w:left="5580" w:right="880" w:hanging="5572"/>
        <w:spacing w:after="0" w:line="761" w:lineRule="auto"/>
        <w:tabs>
          <w:tab w:leader="none" w:pos="2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commenced liquidation. In addition, our Company may accept the surrender of any fully paid share for no consideration.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Provided that such transfer complies with the Nasdaq rules, our shareholders may freely transfer shares to another person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completing an instrument of transfer in a common form or in a form prescribed by the Nasdaq Capital Market (if such shares are listed on the Nasdaq Capital Market) or in any other form approved by our board of directors, executed:</w:t>
      </w:r>
    </w:p>
    <w:p>
      <w:pPr>
        <w:spacing w:after="0" w:line="17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that shareholder;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shareholder and the transferee.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shares of any class in question are not listed on any stock exchange or subject to the rules of any stock exchange, our board of directors may, in its absolute discretion, decline to register any transfer of any share that is not fully paid up or on which we have a lien. Our board of directors may also decline to register any transfer of any share unless:</w:t>
      </w:r>
    </w:p>
    <w:p>
      <w:pPr>
        <w:spacing w:after="0" w:line="176" w:lineRule="exact"/>
        <w:rPr>
          <w:sz w:val="20"/>
          <w:szCs w:val="20"/>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our Company;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Capital Market may determine to be payable or such lesser sum as our directors may from time to time require is paid to us in respect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month after the date on which the instrument of transfer was lodged, send to each of the transferor and the transferee notice of such refusal.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and on 14 clear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calendar days in any year.</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then, unless the terms on which a class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issued state otherwise, the rights attached to any such class may only be varied with: (a) the consent in writing of the holders of two-thirds of the issued shares of that class or (b) the sanction of a special resolution passed at a separate meeting of the holders of the shares of that class. The rights conferred upon the holders of the shares of any class issued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our Amended Articles to inspect or obtain copies of our list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shareholders or our corporate records. However, we will provide our shareholders with annual audited financial statements.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Memorandum and Articles authorize our board of directors to issue additional Ordinary Shares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additional Ordinary Shares may dilute the voting power of holders of Ordinary Shares.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Memorandum and Articles may discourage, delay or prevent a change of control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issue negotiable or bearer shares, but may issue shares with no par value;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Nomination and Removal of Directors and Filling Vacancies on Board. </w:t>
      </w:r>
      <w:r>
        <w:rPr>
          <w:rFonts w:ascii="Times New Roman" w:cs="Times New Roman" w:eastAsia="Times New Roman" w:hAnsi="Times New Roman"/>
          <w:sz w:val="18"/>
          <w:szCs w:val="18"/>
          <w:color w:val="auto"/>
        </w:rPr>
        <w:t>At any time or from time to time, the board of directors shall have the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any person as a director either to fill a casual vacancy on the board of directors or as an additional director to the existing board of directors subject to any maximum number of directors, if any, as may be determined by the members in general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shall hold office for the term, if any, fixed by the terms of his appointment or until his office is vacated pursuant to the Amended Articles.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director is not required to hold any shares in the company by way of qualification nor is there any specified upper or lower age limit for directors either for accession to or retirement from the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a Director shall be vacated if he:</w:t>
      </w:r>
    </w:p>
    <w:p>
      <w:pPr>
        <w:spacing w:after="0" w:line="225" w:lineRule="exact"/>
        <w:rPr>
          <w:sz w:val="20"/>
          <w:szCs w:val="20"/>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resigns his office by notice to the Company;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is absent from meetings of directors for a continuous period of six months.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board of directors may appoint one or more of its body to be managing director, joint managing director or deputy managing director or to hold any other employment or executive office with the company for such period and upon such terms as the board of directors may determine, and the board of directors may revoke or terminate any of such appointments. The board of directors may also delegate any of its powers to committees consisting of such director(s) or other person(s) as the board of directors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the Financial Reporting Authority or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subscribing for shares, the subscriber consents to the disclosure of any information about them to regulators and others upon request in connection with money laundering and similar matters both in the Cayman Islands and in other jurisdictions.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or any other applicable law. Depending on the circumstances of each application, a detailed verification of identity might not be required where:</w:t>
      </w:r>
    </w:p>
    <w:p>
      <w:pPr>
        <w:spacing w:after="0" w:line="180"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(“FRA”) of the Cayman Islands, pursuant to the Proceeds of Crime Act (Revised) of the Cayman Islands if the disclosure relates to criminal conduct or money laundering, or (ii) a police constable or a nominated officer (pursuant to the Terrorism Act (Revised) of the Cayman Islands), pursuant to the Terrorism Act (Revised) of the Cayman Islands or the FRA,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processing personal data in accordance with the DPA. In its use of personal data, the Company will be characterized under the DPA as a “data controller”, while certain of the Company’s service providers, affiliates and delegates may act as “data processors” under the DPA. These service providers may process personal information for their own lawful purposes in connection with services provided to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privacy notice puts our shareholders on notice that, by virtue of making an investment in the Company, the Company and certain of the Company’s service providers may collect, record, store, transfer and otherwise process personal data by which individuals may be directly or indirectly identified.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personal data shall not be held by the Company for longer than necessary with regard to the purposes of the data processing.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accessing their website here: ombudsman.ky.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is modeled, to a large extent, after the older Companies Acts of England but does not follow recent English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 and consolidations between Cayman Islands companies and between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new consolidated company and the vesting of the undertaking, property and liabilities of such companies to the consolidated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 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 The consent of each holder of a fixed or floating security interest over a constituent company is required unless this requirement is waived by a court in the Cayman Islands.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seventy-five per cent in value of the members or class of members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person of that class acting in respect of his or her interest;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that may facilitate the “squeeze out” of dissentient minority shareholders upon a takeover offer. When a takeover offer is made and accepted by holders of not less than 90.0% of the shares within four months after the making of the offer, the offeror may, within a two-month period commencing on the expiration of such four month period, give notice to require the holders of the remaining shares to transfer such shares on the terms of the offer. An objection can be made to the Grand Court of the Cayman Islands by a dissenting shareholder within one month from the date on which the notice was given, but this is unlikely to succeed in the case of an offer that has been so approved unless there is evidence of fraud, bad faith or collusion.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83"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a company (not being a bank) having its share capital divided into shares, the Grand Court may, on the application of members holding not less than one fifth of the shares of the company in issue, appoint an inspector to examine the affairs of the company and to report thereon in such manner as the Grand Court shall direct.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Memorandum and Articles provide that to the extent permitted by law, we shall indemnify each existing or former director (including alternate director), secretary and other officer of us (including an investment adviser or an administrator or liquidator) and their personal representatives against:</w:t>
      </w:r>
    </w:p>
    <w:p>
      <w:pPr>
        <w:spacing w:after="0" w:line="176" w:lineRule="exact"/>
        <w:rPr>
          <w:sz w:val="20"/>
          <w:szCs w:val="20"/>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director’s (including alternate director’s), secretary’s or officer’s duties, powers, authorities or discretions;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permitted by the Companies Act, we may make a payment, or agree to make a payment, whether by way of advance, loan or otherwise, for any legal costs incurred by an existing or former director (including alternate director), secretary or officer of the Company in respect of any matter identified in above on condition that the director (including alternate director), secretary or officer must repay the amount paid by us to the extent that we are ultimately found not liable to indemnify the director (including alternate director), secretary or officer for those legal costs. This standard of conduct is generally the same as permitted under the Delaware General Corporation Law for a Delaware corporation.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General Corporation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second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 (c) a duty to avoid improperly fettering the exercise of future discretion, (d) a duty to avoid any conflict of interest between the director’s duty to the company and the director’s personal interests, and (e) a duty to exercise independent judgment. In addition to the above, directors also owe a duty of care which is not fiduciary in nature. It was previously considered that a director need not exhibit in the performance of his duties a greater degree of skill than may reasonably be expected from a person carrying out the same functions as are carried out by that director in relation to the company.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The Companies Act and our Amended Articles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rights to requisition a general meeting, or to put any proposal before a general meeting. However, these rights may be provided in a company’s articles of association. Our Amended Articles allow our shareholders holding in aggregate not less than ten percent of the rights to vote at such general meeting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Amended Articles do not provide our shareholders with any other right to put proposals before annual general meetings or extraordinary general meetings. As an exempted Cayman Islands company, we may but are not obliged by law to call shareholders’ annual general meetings.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Amended Articles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Amended Articles, directors may be removed with or without cause, by an ordinary resolution of our Shareholders. In addition, a director’s office shall be vacated if the director (i) becomes bankrupt or makes any arrangement or composition with his creditors; (ii) is found to be or becomes of unsound mind or dies;</w:t>
      </w:r>
    </w:p>
    <w:p>
      <w:pPr>
        <w:spacing w:after="0" w:line="3" w:lineRule="exact"/>
        <w:rPr>
          <w:sz w:val="20"/>
          <w:szCs w:val="20"/>
          <w:color w:val="auto"/>
        </w:rPr>
      </w:pPr>
    </w:p>
    <w:p>
      <w:pPr>
        <w:ind w:firstLine="8"/>
        <w:spacing w:after="0" w:line="260"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or her office by notice in writing to the company; (iv) without special leave of absence from our board, is absent from meetings of our board for a continuous period of six months; or (v) is removed from office pursuant to any other provisions of our Amended Memorandum and Articles.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and for a proper corporate purpose and not with the effect of constituting a fraud on the minority shareholders.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Companies Act, a company may be wound up by either an order of the courts of the Cayman Islands,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Articles, our Company may be dissolved, liquidated or wound up by a special resolution of our shareholders.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majority of the outstanding shares of such class, unless the certificate of incorporation provides otherwise. Under the Companies Act and our Amended Articles, if our share capital is divided into more than one class of shares then, unless the terms on which a class of shares was issued state otherwise, we may vary the rights attached to any class with the written consent of not less than two-thirds of the issued shares of that class or with the sanction of a special resolution passed at a separate general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issued shares of that class.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As permitted by the Companies Act, our Amended Memorandum and Articles may only be amended by a special resolution of our shareholders.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Amended Memorandum and Articles on the rights of non-resident or foreign shareholders to hold or exercise voting rights on our shares. In addition, there are no provisions in our Amended Memorandum and Articles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 — CCP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Group’s and its consolidated foreign operating entities’ respective memorandum and articles of association do not contain any wording from any charter of the CCP.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Tenancy Agreement</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An Agreement </w:t>
      </w:r>
      <w:r>
        <w:rPr>
          <w:rFonts w:ascii="Times New Roman" w:cs="Times New Roman" w:eastAsia="Times New Roman" w:hAnsi="Times New Roman"/>
          <w:sz w:val="18"/>
          <w:szCs w:val="18"/>
          <w:color w:val="auto"/>
        </w:rPr>
        <w:t>made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2025 between the Landlord and the Tenant as more particularly described in Schedule I and II.</w:t>
      </w:r>
    </w:p>
    <w:p>
      <w:pPr>
        <w:spacing w:after="0" w:line="135" w:lineRule="exact"/>
        <w:rPr>
          <w:sz w:val="20"/>
          <w:szCs w:val="20"/>
          <w:color w:val="auto"/>
        </w:rPr>
      </w:pPr>
    </w:p>
    <w:p>
      <w:pPr>
        <w:ind w:right="20" w:firstLine="8"/>
        <w:spacing w:after="0" w:line="282" w:lineRule="auto"/>
        <w:rPr>
          <w:sz w:val="20"/>
          <w:szCs w:val="20"/>
          <w:color w:val="auto"/>
        </w:rPr>
      </w:pPr>
      <w:r>
        <w:rPr>
          <w:rFonts w:ascii="Times New Roman" w:cs="Times New Roman" w:eastAsia="Times New Roman" w:hAnsi="Times New Roman"/>
          <w:sz w:val="18"/>
          <w:szCs w:val="18"/>
          <w:color w:val="auto"/>
        </w:rPr>
        <w:t>The Landlord shall let and the Tenant shall take the Premises for the Term and at the Rent as more particularly described in Schedule I and both parties agree to observe and perform the terms and conditions as follows:-</w:t>
      </w:r>
    </w:p>
    <w:p>
      <w:pPr>
        <w:spacing w:after="0" w:line="161" w:lineRule="exact"/>
        <w:rPr>
          <w:sz w:val="20"/>
          <w:szCs w:val="20"/>
          <w:color w:val="auto"/>
        </w:rPr>
      </w:pPr>
    </w:p>
    <w:p>
      <w:pPr>
        <w:jc w:val="both"/>
        <w:ind w:left="660" w:hanging="652"/>
        <w:spacing w:after="0" w:line="214" w:lineRule="auto"/>
        <w:tabs>
          <w:tab w:leader="none" w:pos="66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The Tenant shall pay to the Landlord the Rent in advance on the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xml:space="preserve"> of each and every calendar month into the following bank account during the Term. If the Tenant shall fail to pay the Rent within 7 days from the due date, the Landlord shall have right to institute appropriate action to recover the Rent and all costs, expenses and other outgoings so incurred by the Landlord in relation to such action shall be a debt owed by the Tenant to the Landlord and shall be recoverable in full by the Landlord.</w:t>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Name of Payee/Account: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Bank: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Union Properties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Hongkong &amp; Shanghai Banking Corporation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004-808-685564-001</w:t>
      </w:r>
    </w:p>
    <w:p>
      <w:pPr>
        <w:spacing w:after="0" w:line="200" w:lineRule="exact"/>
        <w:rPr>
          <w:sz w:val="20"/>
          <w:szCs w:val="20"/>
          <w:color w:val="auto"/>
        </w:rPr>
      </w:pPr>
    </w:p>
    <w:p>
      <w:pPr>
        <w:sectPr>
          <w:pgSz w:w="11900" w:h="16838" w:orient="portrait"/>
          <w:cols w:equalWidth="0" w:num="2">
            <w:col w:w="2520" w:space="720"/>
            <w:col w:w="8000"/>
          </w:cols>
          <w:pgMar w:left="320" w:top="117" w:right="339" w:bottom="1440" w:gutter="0" w:footer="0" w:header="0"/>
          <w:type w:val="continuous"/>
        </w:sectPr>
      </w:pPr>
    </w:p>
    <w:p>
      <w:pPr>
        <w:spacing w:after="0" w:line="7" w:lineRule="exact"/>
        <w:rPr>
          <w:sz w:val="20"/>
          <w:szCs w:val="20"/>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not assign, transfer, sublet or part with the possession of the Premises or any part thereof to any other person. This tenancy shall be personal to the Tenant named herein.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comply with all ordinances, regulations and rules of Hong Kong and shall observe and perform the covenants, terms and conditions of the Deed of Mutual Covenant and Sub-Deed of Mutual Covenant (if any) relating to the Premises. The Tenant shall not contravene any negative of restrictive covenants contained in the Government Lease(s) under which the Premises are held from the Government.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during the Term of Tenancy pay and discharge all charges in respect of water, electricity and telephone and other similar charges payable in respect of the Premises.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during the Term of Tenancy keep the interior of the Premises in good and tenantable repair and condition (fair wear and tear and damage caused by inherent defects excepted) and shall deliver up vacant possession of the Premises in the same repair and condition on the expiration or sooner determination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8" w:name="page109"/>
    <w:bookmarkEnd w:id="108"/>
    <w:p>
      <w:pPr>
        <w:jc w:val="both"/>
        <w:ind w:left="652" w:hanging="652"/>
        <w:spacing w:after="0" w:line="254" w:lineRule="auto"/>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pay to the Landlord the Security Deposit set out in Schedule I for the due observance and performance of the terms and conditions therein contained and on his part to be observed and performed. Provided that there is no antecedent breach of any of the terms and conditions herein contained, the Landlord shall refund the Security Deposit to the Tenant without interest within 30 days from the date of delivery of vacant possession of the Premises to the Landlord or settlement of any outstanding Payment owed by the Tenant to the Landlord, whichever is later. If the Rent and/or and charges payable by the Tenant hereunder or any part thereof shall be unpaid for 7 days after the same shall become payable (whether legally demanded or not) or if the Tenant shall commit a breach of any of the terms and conditions herein contained, it shall be lawful for the Landlord at any time thereafter to re-enter the Premises whereupon this Agreement shall absolutely determine and the Landlord may deduct any loss or damage suffered by the Landlord as a result of the Tenant's breach from the Security Deposit without prejudice to any other right of action or any remedy of the Landlord in respect of such breach by the Tenant.</w:t>
      </w:r>
    </w:p>
    <w:p>
      <w:pPr>
        <w:spacing w:after="0" w:line="21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Landlord shall sell the Premises at any time during the Terms, the Landlord shall be at liberty to transfer the Security Deposit (less any deduction lawfully made hereunder) to the purchaser without obtaining the prior written consent of the Tenant. Provided that the purchaser shall have given an undertaking in writing to the Tenant to refund the Security Deposit (less any lawful deductions made by the Landlord) In accordance with this Agreement, failing which the Landlord's obligation in respect of the refund under this Agreement shall remain unchanged.</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Tenant shall have paid the Rent and other outgoings on the days and In the manner herein provided and observe and perform the terms and conditions herein contained and on the Tenant's part to be observed and performed, the Tenant shall peacefully hold and enjoy the Premises during the Term of Tenancy without any interruption by the Landlord.</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keep and maintain the structural parts of the Premises in proper state of repair provided that the Landlord's liability shall not be incurred unless written notice of any defect or want of repair has been given by the Tenant to the Landlord and the Landlord shall have failed to take reasonable steps to repair and remedy the same after the lapse of a reasonable time from the date of service of such notice.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pay the Property tax payable in respect of the Premises.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9" w:name="page110"/>
    <w:bookmarkEnd w:id="109"/>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Stamp Duty payable on this Agreement in duplicate shall be borne by the Landlord and the Tenant in equal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negotiation, representation, understanding and agreements of the parties hereto.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and the Tenant agree to be bound by the additional terms and conditions contained in Schedule II.</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3 months immediately before the expiration or sooner determination of the Term, the Tenant shall permit the Landlord, its agents, and all persons having written authority at all reasonable times subject to prior notice to enter and view the Premises.</w:t>
      </w:r>
    </w:p>
    <w:p>
      <w:pPr>
        <w:sectPr>
          <w:pgSz w:w="11900" w:h="16838" w:orient="portrait"/>
          <w:cols w:equalWidth="0" w:num="1">
            <w:col w:w="11240"/>
          </w:cols>
          <w:pgMar w:left="320" w:top="931" w:right="339" w:bottom="1440" w:gutter="0" w:footer="0" w:header="0"/>
        </w:sectPr>
      </w:pPr>
    </w:p>
    <w:p>
      <w:pPr>
        <w:spacing w:after="0" w:line="378" w:lineRule="exact"/>
        <w:rPr>
          <w:sz w:val="20"/>
          <w:szCs w:val="20"/>
          <w:color w:val="auto"/>
        </w:rPr>
      </w:pPr>
    </w:p>
    <w:p>
      <w:pPr>
        <w:ind w:right="1740"/>
        <w:spacing w:after="0" w:line="261" w:lineRule="auto"/>
        <w:rPr>
          <w:sz w:val="20"/>
          <w:szCs w:val="20"/>
          <w:color w:val="auto"/>
        </w:rPr>
      </w:pPr>
      <w:r>
        <w:rPr>
          <w:rFonts w:ascii="Times New Roman" w:cs="Times New Roman" w:eastAsia="Times New Roman" w:hAnsi="Times New Roman"/>
          <w:sz w:val="18"/>
          <w:szCs w:val="18"/>
          <w:color w:val="auto"/>
        </w:rPr>
        <w:t>Confirmed &amp; accepted all the terms contained herein by the Landlord</w:t>
      </w:r>
    </w:p>
    <w:p>
      <w:pPr>
        <w:spacing w:after="0"/>
        <w:rPr>
          <w:sz w:val="20"/>
          <w:szCs w:val="20"/>
          <w:color w:val="auto"/>
        </w:rPr>
      </w:pPr>
      <w:r>
        <w:rPr>
          <w:rFonts w:ascii="Times New Roman" w:cs="Times New Roman" w:eastAsia="Times New Roman" w:hAnsi="Times New Roman"/>
          <w:sz w:val="18"/>
          <w:szCs w:val="18"/>
          <w:color w:val="auto"/>
        </w:rPr>
        <w:t>[ China Union Properties Limited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China Union Properties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63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 No. 51231424</w:t>
      </w:r>
    </w:p>
    <w:p>
      <w:pPr>
        <w:spacing w:after="0" w:line="225" w:lineRule="exact"/>
        <w:rPr>
          <w:sz w:val="20"/>
          <w:szCs w:val="20"/>
          <w:color w:val="auto"/>
        </w:rPr>
      </w:pPr>
    </w:p>
    <w:p>
      <w:pPr>
        <w:ind w:right="1580"/>
        <w:spacing w:after="0" w:line="282" w:lineRule="auto"/>
        <w:rPr>
          <w:sz w:val="20"/>
          <w:szCs w:val="20"/>
          <w:color w:val="auto"/>
        </w:rPr>
      </w:pPr>
      <w:r>
        <w:rPr>
          <w:rFonts w:ascii="Times New Roman" w:cs="Times New Roman" w:eastAsia="Times New Roman" w:hAnsi="Times New Roman"/>
          <w:sz w:val="18"/>
          <w:szCs w:val="18"/>
          <w:color w:val="auto"/>
        </w:rPr>
        <w:t>Signed by the person duly authorized by its board of directors for and on behalf of the Landlord.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E.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031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Confirmed &amp; accepted all the terms contained herein by the Tenant</w:t>
      </w:r>
    </w:p>
    <w:p>
      <w:pPr>
        <w:spacing w:after="0"/>
        <w:rPr>
          <w:sz w:val="20"/>
          <w:szCs w:val="20"/>
          <w:color w:val="auto"/>
        </w:rPr>
      </w:pPr>
      <w:r>
        <w:rPr>
          <w:rFonts w:ascii="Times New Roman" w:cs="Times New Roman" w:eastAsia="Times New Roman" w:hAnsi="Times New Roman"/>
          <w:sz w:val="18"/>
          <w:szCs w:val="18"/>
          <w:color w:val="auto"/>
        </w:rPr>
        <w:t>[ Etoiles Consultancy Limited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Etoiles Consultancy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28460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 No. 62155340</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Signed by the person duly authorized by its board of directors for and on behalf of the Tenant.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Cheung Kit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24942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931" w:right="3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96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5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 Premises:</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Office Units 03-04 on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of High Block (COSCO Tower), Grand Millennium Plaza, No. 183 Queen’s Road Central, &amp;</w:t>
            </w:r>
          </w:p>
        </w:tc>
      </w:tr>
      <w:tr>
        <w:trPr>
          <w:trHeight w:val="234"/>
        </w:trPr>
        <w:tc>
          <w:tcPr>
            <w:tcW w:w="1640" w:type="dxa"/>
            <w:vAlign w:val="bottom"/>
          </w:tcPr>
          <w:p>
            <w:pPr>
              <w:spacing w:after="0"/>
              <w:rPr>
                <w:sz w:val="20"/>
                <w:szCs w:val="20"/>
                <w:color w:val="auto"/>
              </w:rPr>
            </w:pP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33 Wing Lok Street, Hong Kong (as shown for identification purposes only on the enclosed floor plan).</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 Landlord:</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China Union Properties Limited </w:t>
            </w:r>
            <w:r>
              <w:rPr>
                <w:rFonts w:ascii="Times New Roman" w:cs="Times New Roman" w:eastAsia="Times New Roman" w:hAnsi="Times New Roman"/>
                <w:sz w:val="18"/>
                <w:szCs w:val="18"/>
                <w:color w:val="auto"/>
              </w:rPr>
              <w:t>whose registered office is situate at 26B, The Albany, No. 1 Albany Road, Hong Kong.</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2522-0989</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 Tenant:</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Etoiles Consultancy Limited </w:t>
            </w:r>
            <w:r>
              <w:rPr>
                <w:rFonts w:ascii="Times New Roman" w:cs="Times New Roman" w:eastAsia="Times New Roman" w:hAnsi="Times New Roman"/>
                <w:sz w:val="18"/>
                <w:szCs w:val="18"/>
                <w:color w:val="auto"/>
              </w:rPr>
              <w:t>whose registered office is situate at Unit 1109, 11/F, Tai Yau Building, 181 Johnson Road,</w:t>
            </w:r>
          </w:p>
        </w:tc>
      </w:tr>
      <w:tr>
        <w:trPr>
          <w:trHeight w:val="234"/>
        </w:trPr>
        <w:tc>
          <w:tcPr>
            <w:tcW w:w="1640" w:type="dxa"/>
            <w:vAlign w:val="bottom"/>
          </w:tcPr>
          <w:p>
            <w:pPr>
              <w:spacing w:after="0"/>
              <w:rPr>
                <w:sz w:val="20"/>
                <w:szCs w:val="20"/>
                <w:color w:val="auto"/>
              </w:rPr>
            </w:pP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Wanchai, Hong Kong.</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2398-8830</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From 20 March 2025 to 19 March 2027 (both days inclusive)</w:t>
            </w:r>
          </w:p>
        </w:tc>
      </w:tr>
      <w:tr>
        <w:trPr>
          <w:trHeight w:val="41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Hong Kong Dollars One Hundred Thousands Only </w:t>
            </w:r>
            <w:r>
              <w:rPr>
                <w:rFonts w:ascii="Times New Roman" w:cs="Times New Roman" w:eastAsia="Times New Roman" w:hAnsi="Times New Roman"/>
                <w:sz w:val="18"/>
                <w:szCs w:val="18"/>
                <w:b w:val="1"/>
                <w:bCs w:val="1"/>
                <w:color w:val="auto"/>
              </w:rPr>
              <w:t>(HK$100,000)</w:t>
            </w:r>
            <w:r>
              <w:rPr>
                <w:rFonts w:ascii="Times New Roman" w:cs="Times New Roman" w:eastAsia="Times New Roman" w:hAnsi="Times New Roman"/>
                <w:sz w:val="18"/>
                <w:szCs w:val="18"/>
                <w:color w:val="auto"/>
              </w:rPr>
              <w:t xml:space="preserve"> per calendar month, inclusive of Government Rates,</w:t>
            </w:r>
          </w:p>
        </w:tc>
      </w:tr>
      <w:tr>
        <w:trPr>
          <w:trHeight w:val="253"/>
        </w:trPr>
        <w:tc>
          <w:tcPr>
            <w:tcW w:w="1640" w:type="dxa"/>
            <w:vAlign w:val="bottom"/>
          </w:tcPr>
          <w:p>
            <w:pPr>
              <w:spacing w:after="0"/>
              <w:rPr>
                <w:sz w:val="21"/>
                <w:szCs w:val="21"/>
                <w:color w:val="auto"/>
              </w:rPr>
            </w:pPr>
          </w:p>
        </w:tc>
        <w:tc>
          <w:tcPr>
            <w:tcW w:w="9600" w:type="dxa"/>
            <w:vAlign w:val="bottom"/>
          </w:tcPr>
          <w:p>
            <w:pPr>
              <w:ind w:left="400"/>
              <w:spacing w:after="0" w:line="252" w:lineRule="exact"/>
              <w:rPr>
                <w:sz w:val="20"/>
                <w:szCs w:val="20"/>
                <w:color w:val="auto"/>
              </w:rPr>
            </w:pPr>
            <w:r>
              <w:rPr>
                <w:rFonts w:ascii="Times New Roman" w:cs="Times New Roman" w:eastAsia="Times New Roman" w:hAnsi="Times New Roman"/>
                <w:sz w:val="18"/>
                <w:szCs w:val="18"/>
                <w:color w:val="auto"/>
              </w:rPr>
              <w:t>Government Rent, Air-conditioning and Management Charges, payable in advance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each month without any</w:t>
            </w:r>
          </w:p>
        </w:tc>
      </w:tr>
      <w:tr>
        <w:trPr>
          <w:trHeight w:val="234"/>
        </w:trPr>
        <w:tc>
          <w:tcPr>
            <w:tcW w:w="1640" w:type="dxa"/>
            <w:vAlign w:val="bottom"/>
          </w:tcPr>
          <w:p>
            <w:pPr>
              <w:spacing w:after="0"/>
              <w:rPr>
                <w:sz w:val="20"/>
                <w:szCs w:val="20"/>
                <w:color w:val="auto"/>
              </w:rPr>
            </w:pP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deduction or set off. In case of holidays or rest days, the payment date will be postponed accordingly.</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Hong Kong Dollars Three Hundred Thousands Only </w:t>
            </w:r>
            <w:r>
              <w:rPr>
                <w:rFonts w:ascii="Times New Roman" w:cs="Times New Roman" w:eastAsia="Times New Roman" w:hAnsi="Times New Roman"/>
                <w:sz w:val="18"/>
                <w:szCs w:val="18"/>
                <w:b w:val="1"/>
                <w:bCs w:val="1"/>
                <w:color w:val="auto"/>
              </w:rPr>
              <w:t>(HK$300,000).</w:t>
            </w:r>
          </w:p>
        </w:tc>
      </w:tr>
      <w:tr>
        <w:trPr>
          <w:trHeight w:val="655"/>
        </w:trPr>
        <w:tc>
          <w:tcPr>
            <w:tcW w:w="16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240"/>
          </w:cols>
          <w:pgMar w:left="320" w:top="90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User</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the offices of the Tenant in the name of the Tenant only and for no other purposes whatsoever.</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Payments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be responsible for the following payments payable in respect of the Premises during the Term:-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Fee &amp; Air-Conditioning Charges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HK$13,035 / month (at current rate, subject to revision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Rates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HK$17,100 / quarter (at current rate, subject to revision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Rent</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HK$10,260 / quarter (at current rate, subject to revision from time to time)</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Handover Condition of the Premises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The parties agree that the Premises shall be handed over to the Tenant in its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as is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condition with the following Landlord’s provisions to the Premises:</w:t>
      </w:r>
    </w:p>
    <w:p>
      <w:pPr>
        <w:spacing w:after="0" w:line="24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Carpet tiles material;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acoustic false ceiling system;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Wallpaper to the internal walls and columns;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Diffusers and VAV boxes;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sprinkler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fittings;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Standardized fire-rated glass entrance doors, duty installed.</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Tenant shall not make any renovation to the Premises without the prior written consent of the Landlord and the Management Office. For the avoidance of doubt, the Tenant shall be responsible for the statutory compliance, health and safety of the Premises during the subsistence of this Agreement.</w:t>
      </w:r>
    </w:p>
    <w:p>
      <w:pPr>
        <w:spacing w:after="0" w:line="17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color w:val="auto"/>
        </w:rPr>
        <w:t xml:space="preserve">At the expiration of this Agreement, the Tenant shall deliver vacant possession of the Premises to the Landlord on the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as 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condition without any reinstatement of such decoration or alteration together with all the keys giving access to all parts of the Premises.</w:t>
      </w:r>
    </w:p>
    <w:p>
      <w:pPr>
        <w:spacing w:after="0" w:line="15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Rent Free Period</w:t>
      </w:r>
    </w:p>
    <w:p>
      <w:pPr>
        <w:spacing w:after="0" w:line="229" w:lineRule="exact"/>
        <w:rPr>
          <w:rFonts w:ascii="Times New Roman" w:cs="Times New Roman" w:eastAsia="Times New Roman" w:hAnsi="Times New Roman"/>
          <w:sz w:val="18"/>
          <w:szCs w:val="18"/>
          <w:b w:val="1"/>
          <w:bCs w:val="1"/>
          <w:color w:val="auto"/>
        </w:rPr>
      </w:pPr>
    </w:p>
    <w:p>
      <w:pPr>
        <w:ind w:left="660" w:right="5460" w:hanging="324"/>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Tenant shall be entitled to a rent free period of 1 month as listed below. From 20 March 2025 to 19 April 2025 (both days inclusive)</w:t>
      </w:r>
    </w:p>
    <w:p>
      <w:pPr>
        <w:spacing w:after="0" w:line="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Tenant shall be responsible for the charges of water, electricity, telephone and other outgoings payable in respect of Premises during such rent free period.</w:t>
      </w:r>
    </w:p>
    <w:p>
      <w:pPr>
        <w:spacing w:after="0" w:line="377"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975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5975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441"/>
        </w:trPr>
        <w:tc>
          <w:tcPr>
            <w:tcW w:w="8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7080" w:type="dxa"/>
            <w:vAlign w:val="bottom"/>
            <w:tcBorders>
              <w:top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China Union Properties Limited</w:t>
            </w:r>
          </w:p>
        </w:tc>
        <w:tc>
          <w:tcPr>
            <w:tcW w:w="800" w:type="dxa"/>
            <w:vAlign w:val="bottom"/>
            <w:tcBorders>
              <w:top w:val="single" w:sz="8" w:color="auto"/>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Unit B, 16/F, E Tat Factory Building, 4 Heung Yip Road, Wong Chuk Hang, H.K.</w:t>
            </w:r>
          </w:p>
        </w:tc>
        <w:tc>
          <w:tcPr>
            <w:tcW w:w="80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70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Tel: 2522-0989 / Email: fiona.yu@hatton.hk</w:t>
            </w:r>
          </w:p>
        </w:tc>
        <w:tc>
          <w:tcPr>
            <w:tcW w:w="800" w:type="dxa"/>
            <w:vAlign w:val="bottom"/>
            <w:tcBorders>
              <w:right w:val="single" w:sz="8" w:color="auto"/>
            </w:tcBorders>
          </w:tcPr>
          <w:p>
            <w:pPr>
              <w:spacing w:after="0"/>
              <w:rPr>
                <w:sz w:val="20"/>
                <w:szCs w:val="20"/>
                <w:color w:val="auto"/>
              </w:rPr>
            </w:pPr>
          </w:p>
        </w:tc>
        <w:tc>
          <w:tcPr>
            <w:tcW w:w="1660" w:type="dxa"/>
            <w:vAlign w:val="bottom"/>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660" w:type="dxa"/>
            <w:vAlign w:val="bottom"/>
          </w:tcPr>
          <w:p>
            <w:pPr>
              <w:spacing w:after="0"/>
              <w:rPr>
                <w:sz w:val="19"/>
                <w:szCs w:val="19"/>
                <w:color w:val="auto"/>
              </w:rPr>
            </w:pPr>
          </w:p>
        </w:tc>
      </w:tr>
      <w:tr>
        <w:trPr>
          <w:trHeight w:val="39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DEBIT NOTE</w:t>
            </w: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Etoiles Consultancy Limited</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Room 2503-2504, COSCO Tower</w:t>
            </w: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183 Queen’s Road C., Hong Kong</w:t>
            </w: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Attn: Accounts Department</w:t>
            </w: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 March 2025</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D/N No:</w:t>
            </w:r>
          </w:p>
        </w:tc>
        <w:tc>
          <w:tcPr>
            <w:tcW w:w="7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CUP 202503-12</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9"/>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w:t>
            </w:r>
          </w:p>
        </w:tc>
        <w:tc>
          <w:tcPr>
            <w:tcW w:w="79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Room 2503-2504, Cosco Tower, 183 Queen’s Road C., HK</w:t>
            </w: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432"/>
        </w:trPr>
        <w:tc>
          <w:tcPr>
            <w:tcW w:w="8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RENT - for the period of 20 March - 19 April 2025</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Rent Free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and on behalf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Union Properties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 Unit 2503-04, COSCO, Grand Millennium Plaza</w:t>
            </w:r>
          </w:p>
        </w:tc>
        <w:tc>
          <w:tcPr>
            <w:tcW w:w="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7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183 Queen’s Road Central &amp; 33 Wing Lok Street, Hong Kong</w:t>
            </w:r>
          </w:p>
        </w:tc>
      </w:tr>
      <w:tr>
        <w:trPr>
          <w:trHeight w:val="45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8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_____ March 2025</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68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China Union Properties Limited</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68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Etoiles Consultancy Limited</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The Tenant received from the Landlord</w:t>
            </w:r>
          </w:p>
        </w:tc>
        <w:tc>
          <w:tcPr>
            <w:tcW w:w="2060" w:type="dxa"/>
            <w:vAlign w:val="bottom"/>
          </w:tcPr>
          <w:p>
            <w:pPr>
              <w:spacing w:after="0"/>
              <w:rPr>
                <w:sz w:val="17"/>
                <w:szCs w:val="17"/>
                <w:color w:val="auto"/>
              </w:rPr>
            </w:pPr>
          </w:p>
        </w:tc>
      </w:tr>
      <w:tr>
        <w:trPr>
          <w:trHeight w:val="434"/>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Keys to the above premises:</w:t>
            </w:r>
          </w:p>
        </w:tc>
        <w:tc>
          <w:tcPr>
            <w:tcW w:w="14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Front door key (Left / Right)</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6"/>
              </w:rPr>
              <w:t>2 / 2 pc.</w:t>
            </w: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Manager’s Room #1</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 pc.</w:t>
            </w: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Manager’s Room #2</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 pc.</w:t>
            </w: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Manager’s Room #3</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0 pc.</w:t>
            </w: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Manager’s Room #4</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0 pc.</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Room</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1 pc.</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by:</w:t>
            </w:r>
          </w:p>
        </w:tc>
        <w:tc>
          <w:tcPr>
            <w:tcW w:w="206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Etoiles Consultancy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No.: ZL-BG-LH016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Science and Technology Plaza Office Lease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(Party A): Shenzhen Aerospace High-Tech Investment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(Party B): Zhou Minghui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Management Party (Party C): Wuyou Planning Operation Management (Shenzhen)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25"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this contract text, except for fill-in-the-blank and check-box items, other contents cannot be modified.</w:t>
      </w:r>
    </w:p>
    <w:p>
      <w:pPr>
        <w:spacing w:after="0" w:line="225"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8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signing this contract text, the parties may, within the scope prescribed by relevant laws and regulations, make supplementary agreements (Appendix I) on matters not stipulated or unclear in this contract.</w:t>
      </w:r>
    </w:p>
    <w:p>
      <w:pPr>
        <w:spacing w:after="0" w:line="15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Before signing this contract, the parties shall provide the corresponding materials according to the following requirements:</w:t>
      </w:r>
    </w:p>
    <w:p>
      <w:pPr>
        <w:spacing w:after="0" w:line="225" w:lineRule="exact"/>
        <w:rPr>
          <w:sz w:val="20"/>
          <w:szCs w:val="20"/>
          <w:color w:val="auto"/>
        </w:rPr>
      </w:pPr>
    </w:p>
    <w:p>
      <w:pPr>
        <w:jc w:val="both"/>
        <w:ind w:right="20" w:firstLine="8"/>
        <w:spacing w:after="0" w:line="268" w:lineRule="auto"/>
        <w:tabs>
          <w:tab w:leader="none" w:pos="25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shall show Party B the real estate right certificate proving its right to lease (copy, stamped with Party A’s official seal). If the house has been mortgaged, it shall show Party B the certificate of the mortgagee’s consent to lease (copy, stamped with Party A’s official seal). Party A’s documents may also be shown to Party B by Party C.</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8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provide Party A and Party C with true, legal, and valid identity documents (copies, stamped with Party B’s official seal), including but not limited to business licenses, legal representative ID cards, power of attorney, authorized person ID cards, etc.</w:t>
      </w:r>
    </w:p>
    <w:p>
      <w:pPr>
        <w:spacing w:after="0" w:line="155" w:lineRule="exact"/>
        <w:rPr>
          <w:sz w:val="20"/>
          <w:szCs w:val="20"/>
          <w:color w:val="auto"/>
        </w:rPr>
      </w:pPr>
    </w:p>
    <w:p>
      <w:pPr>
        <w:ind w:firstLine="8"/>
        <w:spacing w:after="0" w:line="286" w:lineRule="auto"/>
        <w:tabs>
          <w:tab w:leader="none" w:pos="19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alternative contents in “□” in this contract, check “√” to select; if no choice is made or no agreement is made, mark “X” to indicate deletion.</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88"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this contract is terminated or major changes occur to the lease term, rent standards, etc., the parties may go to the original registration and filing authority to handle relevant procedures according to actual conditions and needs.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1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signing this contract, the parties shall have full capacity for civil conduct, fully understand their respective rights, obligations, and responsibilities, and voluntarily and strictly execute the contract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Aerospace Science and Technology Plaza Office Lease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(Party A): Shenzhen Aerospace High-Tech Investment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Gao Fazhi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Address: 15B01, Tower B, Aerospace Science and Technology Plaza, No. 1288 Haide 3rd Road, Nanshan District, Shenzhen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(Party B): Zhou Minghui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Number: 610112199007062024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Address: Building B, CIMC R&amp;D Center, No. 2 Gangwan Avenue, Nanshan District, Shenzhen, Guangdong Province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Management Party (Party C): Wuyou Planning Operation Management (Shenzhen)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Yuan Tao</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Contact Address: 3402, Building 1, Dachong Business Center (Phase II), No. 9680 Shennan Avenue, Dachong Community, Yuehai Street, Nanshan District, Shenzhen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firstLine="8"/>
        <w:spacing w:after="0" w:line="286" w:lineRule="auto"/>
        <w:tabs>
          <w:tab w:leader="none" w:pos="18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is the owner of the Aerospace Science and Technology Plaza office building, legally holds the property, and enjoys the right to lease and relevant disposal rights over the building.</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is the operational service cooperation partner for the corresponding floors of Tower A of the Aerospace Science and Technology Plaza, enjoying the right to lease and manage operations within Party A’s authorized scope. Party C is specifically responsible for the decoration, lease management, and tenant services of the 11th, 14th, and 15th floors of Tower A.</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8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voluntarily leases Office Property No. 1510 on the 15th floor of Tower A, Aerospace Science and Technology Plaza, and agrees to accept the decoration, lease management, tenant services, and other services provided by Party C.</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 accordance with the Civil Code of the People’s Republic of China, the Administrative Measures for Commodity Housing Leasing, the Decision of the Standing Committee of the Shenzhen Municipal People’s Congress on Strengthening Safety Responsibilities in Housing Leasing, and other relevant laws and regulations, the three parties, based on equality, voluntariness, and good faith, jointly enter into this contract regarding Party A’s leasing, Party B’s leasing of the office, and Party C’s provision of decoration, leasing management, and tenant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Unless otherwise specified, the following terms used in this contract and its appendices have the following meanings: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1.1 “This Contract”: Includes the main text of this contract, all appendices, and any written supplementary agreements made by the parties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1.2 “Aerospace Science and Technology Plaza”: Refers to the property invested and constructed by Party A, located at No. 1288 Haide 3rd Road, Nanshan District, Shenzhen, hereinafter referred to as “this project” or “the project”.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“Leased Property”: Refers to the property leased by Party A to Party B according to this contract.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1.4 “Lease Deposit”: Refers to the performance guarantee paid by Party B to Party A, which can be in cash or a bank performance guarantee. Its amount is not prepaid rent, comprehensive service fees, utility fees, or other fees, but only serves as a guarantee for Party B to fulfill its obligations under this contract.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1.5 “Gaoke Property”: Abbreviation for Shenzhen Aerospace Gaoke Property Management Co., Ltd., entrusted by Party A to be fully responsible for the property services and management of this project.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1.6 “Property Management Fee”: Refers to the necessary expenses incurred by Party A entrusting Gaoke Property to perform maintenance, cleaning, security, etc., on the common parts, equipment, and facilities of this project to maintain normal operations, as well as the water, electricity, and air-conditioning fees of the common parts, equipment, and facilities themselves. The central air-conditioning usage fee is included in the property management fee.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“Statutory Holidays”: Refers to the following holidays of the People’s Republic of China:</w:t>
      </w:r>
    </w:p>
    <w:p>
      <w:pPr>
        <w:spacing w:after="0" w:line="188" w:lineRule="exact"/>
        <w:rPr>
          <w:sz w:val="20"/>
          <w:szCs w:val="20"/>
          <w:color w:val="auto"/>
        </w:rPr>
      </w:pPr>
    </w:p>
    <w:p>
      <w:pPr>
        <w:ind w:left="220" w:hanging="212"/>
        <w:spacing w:after="0" w:line="207" w:lineRule="exact"/>
        <w:tabs>
          <w:tab w:leader="none" w:pos="220" w:val="left"/>
        </w:tabs>
        <w:numPr>
          <w:ilvl w:val="0"/>
          <w:numId w:val="7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New Year’s Day: Jan 1; </w:t>
      </w:r>
      <w:r>
        <w:rPr>
          <w:rFonts w:ascii="MS PGothic" w:cs="MS PGothic" w:eastAsia="MS PGothic" w:hAnsi="MS PGothic"/>
          <w:sz w:val="18"/>
          <w:szCs w:val="18"/>
          <w:color w:val="auto"/>
          <w:highlight w:val="black"/>
        </w:rPr>
        <w:t>②</w:t>
      </w:r>
      <w:r>
        <w:rPr>
          <w:rFonts w:ascii="Times New Roman" w:cs="Times New Roman" w:eastAsia="Times New Roman" w:hAnsi="Times New Roman"/>
          <w:sz w:val="18"/>
          <w:szCs w:val="18"/>
          <w:b w:val="1"/>
          <w:bCs w:val="1"/>
          <w:color w:val="auto"/>
        </w:rPr>
        <w:t xml:space="preserve"> Spring Festival: Lunar New Year’s Eve, 1st, 2nd, 3rd days; </w:t>
      </w:r>
      <w:r>
        <w:rPr>
          <w:rFonts w:ascii="MS PGothic" w:cs="MS PGothic" w:eastAsia="MS PGothic" w:hAnsi="MS PGothic"/>
          <w:sz w:val="18"/>
          <w:szCs w:val="18"/>
          <w:color w:val="auto"/>
          <w:highlight w:val="black"/>
        </w:rPr>
        <w:t>③</w:t>
      </w:r>
      <w:r>
        <w:rPr>
          <w:rFonts w:ascii="Times New Roman" w:cs="Times New Roman" w:eastAsia="Times New Roman" w:hAnsi="Times New Roman"/>
          <w:sz w:val="18"/>
          <w:szCs w:val="18"/>
          <w:b w:val="1"/>
          <w:bCs w:val="1"/>
          <w:color w:val="auto"/>
        </w:rPr>
        <w:t xml:space="preserve"> Labor Day: May 1, May 2; </w:t>
      </w:r>
      <w:r>
        <w:rPr>
          <w:rFonts w:ascii="MS PGothic" w:cs="MS PGothic" w:eastAsia="MS PGothic" w:hAnsi="MS PGothic"/>
          <w:sz w:val="18"/>
          <w:szCs w:val="18"/>
          <w:color w:val="auto"/>
          <w:highlight w:val="black"/>
        </w:rPr>
        <w:t>④</w:t>
      </w:r>
      <w:r>
        <w:rPr>
          <w:rFonts w:ascii="Times New Roman" w:cs="Times New Roman" w:eastAsia="Times New Roman" w:hAnsi="Times New Roman"/>
          <w:sz w:val="18"/>
          <w:szCs w:val="18"/>
          <w:b w:val="1"/>
          <w:bCs w:val="1"/>
          <w:color w:val="auto"/>
        </w:rPr>
        <w:t xml:space="preserve"> Dragon Boat Festival;</w:t>
      </w:r>
    </w:p>
    <w:p>
      <w:pPr>
        <w:spacing w:after="0" w:line="69" w:lineRule="exact"/>
        <w:rPr>
          <w:rFonts w:ascii="MS PGothic" w:cs="MS PGothic" w:eastAsia="MS PGothic" w:hAnsi="MS PGothic"/>
          <w:sz w:val="18"/>
          <w:szCs w:val="18"/>
          <w:color w:val="auto"/>
          <w:highlight w:val="black"/>
        </w:rPr>
      </w:pPr>
    </w:p>
    <w:p>
      <w:pPr>
        <w:spacing w:after="0" w:line="215"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highlight w:val="black"/>
        </w:rPr>
        <w:t>⑤</w:t>
      </w:r>
      <w:r>
        <w:rPr>
          <w:rFonts w:ascii="Times New Roman" w:cs="Times New Roman" w:eastAsia="Times New Roman" w:hAnsi="Times New Roman"/>
          <w:sz w:val="18"/>
          <w:szCs w:val="18"/>
          <w:b w:val="1"/>
          <w:bCs w:val="1"/>
          <w:color w:val="auto"/>
        </w:rPr>
        <w:t xml:space="preserve"> Tomb-Sweeping Day; </w:t>
      </w:r>
      <w:r>
        <w:rPr>
          <w:rFonts w:ascii="MS PGothic" w:cs="MS PGothic" w:eastAsia="MS PGothic" w:hAnsi="MS PGothic"/>
          <w:sz w:val="18"/>
          <w:szCs w:val="18"/>
          <w:color w:val="auto"/>
          <w:highlight w:val="black"/>
        </w:rPr>
        <w:t>⑥</w:t>
      </w:r>
      <w:r>
        <w:rPr>
          <w:rFonts w:ascii="Times New Roman" w:cs="Times New Roman" w:eastAsia="Times New Roman" w:hAnsi="Times New Roman"/>
          <w:sz w:val="18"/>
          <w:szCs w:val="18"/>
          <w:b w:val="1"/>
          <w:bCs w:val="1"/>
          <w:color w:val="auto"/>
        </w:rPr>
        <w:t xml:space="preserve"> Mid-Autumn Festival: Lunar Aug 15; </w:t>
      </w:r>
      <w:r>
        <w:rPr>
          <w:rFonts w:ascii="MS PGothic" w:cs="MS PGothic" w:eastAsia="MS PGothic" w:hAnsi="MS PGothic"/>
          <w:sz w:val="18"/>
          <w:szCs w:val="18"/>
          <w:color w:val="auto"/>
          <w:highlight w:val="black"/>
        </w:rPr>
        <w:t>⑦</w:t>
      </w:r>
      <w:r>
        <w:rPr>
          <w:rFonts w:ascii="Times New Roman" w:cs="Times New Roman" w:eastAsia="Times New Roman" w:hAnsi="Times New Roman"/>
          <w:sz w:val="18"/>
          <w:szCs w:val="18"/>
          <w:b w:val="1"/>
          <w:bCs w:val="1"/>
          <w:color w:val="auto"/>
        </w:rPr>
        <w:t xml:space="preserve"> National Day: Oct 1, 2, 3; </w:t>
      </w:r>
      <w:r>
        <w:rPr>
          <w:rFonts w:ascii="MS PGothic" w:cs="MS PGothic" w:eastAsia="MS PGothic" w:hAnsi="MS PGothic"/>
          <w:sz w:val="18"/>
          <w:szCs w:val="18"/>
          <w:color w:val="auto"/>
          <w:highlight w:val="black"/>
        </w:rPr>
        <w:t>⑧</w:t>
      </w:r>
      <w:r>
        <w:rPr>
          <w:rFonts w:ascii="Times New Roman" w:cs="Times New Roman" w:eastAsia="Times New Roman" w:hAnsi="Times New Roman"/>
          <w:sz w:val="18"/>
          <w:szCs w:val="18"/>
          <w:b w:val="1"/>
          <w:bCs w:val="1"/>
          <w:color w:val="auto"/>
        </w:rPr>
        <w:t xml:space="preserve"> Public holidays: Rest days stipulated in the holiday notices of the General Office of the State Council. If laws, regulations, and rules stipulate otherwise, such stipulations shall prevail.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“Written form”: Refers to letters, correspondence, and other forms that can tangibly express the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“Yuan”: Refers to RMB Yuan.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 “Month”: Refers to a calendar month, from the first day to the last day of the month.</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1.11 “Common parts”: Refers to the main load-bearing structural parts of this project, anti-seismic structural parts, outer walls, lobby, stairwells, public passages, etc.</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1.12 “Common equipment”: Refers to the shared water supply and drainage pipes, water tanks, pressurization pumps, elevators, shared antenna lines, public lighting, electrical lines, gas pipelines, fire-fighting equipment, public intelligent equipment systems, other electromechanical equipment, and rooms used for common equipment within the project’s red line.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1.13 “Common facilities”: Refers to roads, public green spaces, street lights, ditches, pools, wells, commercial parking lots/garages, and rooms used for common facilities within the project’s red line.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1.14 “Comprehensive Service Fee”: The fee Party B pays to Party C for comprehensive leasing services, consisting of property management-related fees and operational service fees. Property management-related fees specifically include property management fees, special maintenance funds, and central AC maintenance fees. Operational service fees are costs incurred by Party C providing decoration, lease management, and tenant support. This fee is paid to Party C and is independent of rent.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1.15 “Leasing Fees”: Refers to the main fees Party B shall pay for leasing the subject of this contract, including rent and comprehensive service fees, excluding other fees under this contract.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1.16 “Other expenses”: Refers to expenses other than leasing fees incurred by Party B due to leasing and using the subject of this contract, including but not limited to utility fees, central AC overtime fees, telephone fees, internet fees, etc.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Leased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2.1 Party C leases the delivered office property No. 1510, located on the 15th Floor, Tower A, Aerospace Science and Technology Plaza (facing East), to Party B for office 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Party A is the real estate rights holder of the leased property and holds the real estate right certificate.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2.3 Party B confirms it has fully inspected and understood all conditions of the leased property’s current status, location, scope, layout, decoration standards, and legal ownership, and has obtained all necessary information from Party C. Party B leases the property entirely based on independent judgment. Party A assumes no guarantee responsibility for any promises or descriptions made by Party C to Party 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Lease Term and Service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three parties confirm that the lease term shall be executed according to clause [3.1] below:</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3.1 Lease Method 1: The lease term is from December 16, 2025, to January 15, 2028. If Party B intends to renew, a written application must be submitted 90 days before expiration. With Party A’s consent after negotiation, Party C can sign a new contract with Party B. If Party B does not renew or Party C does not receive the application in time, Party B is deemed to have waived its priority right to lease, and Party C has the right to bring new tenants to view the property 90 days prior to expiration (Party B must reasonably cooperate).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3.2 Lease Method Two: the initial lease term shall not be less than one natural month, and the lease contract term / year / month, from / year / month / day to / year / month / day. Party B is not required to pay a housing lease deposit, but shall pay prepaid rent and prepaid comprehensive service fees in accordance with clauses 4.2.2 and 4.3.2 of this contract. If Party B intends to continue leasing the premises after the contract expires, Party B shall submit a written renewal application to Party C 10 days before expiry, and the renewal term shall not be less than one natural month. Upon Party C reaching agreement with Party A and obtaining Party A’s consent, a new lease contract may be signed. The renewed lease contract shall continue to follow this contract model and be jointly signed by the three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3.3 Rent-free Period:</w:t>
      </w:r>
    </w:p>
    <w:p>
      <w:pPr>
        <w:spacing w:after="0" w:line="225" w:lineRule="exact"/>
        <w:rPr>
          <w:sz w:val="20"/>
          <w:szCs w:val="20"/>
          <w:color w:val="auto"/>
        </w:rPr>
      </w:pPr>
    </w:p>
    <w:p>
      <w:pPr>
        <w:jc w:val="both"/>
        <w:ind w:firstLine="8"/>
        <w:spacing w:after="0" w:line="262" w:lineRule="auto"/>
        <w:tabs>
          <w:tab w:leader="none" w:pos="212" w:val="left"/>
        </w:tabs>
        <w:numPr>
          <w:ilvl w:val="0"/>
          <w:numId w:val="7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Party B enjoys a rent-free period of / days, specifically from / year / month / day to / year / month / day. During the rent-free period, Party B is not required to pay rent or operational service fees, but shall still pay the property management-related fees and other expenses for the leased premises. After the rent-free period expires, regardless of whether Party B uses the leased premises, Party B shall pay rent, comprehensive service fees, and other expenses as stipulated in this contract.</w:t>
      </w:r>
    </w:p>
    <w:p>
      <w:pPr>
        <w:spacing w:after="0" w:line="176" w:lineRule="exact"/>
        <w:rPr>
          <w:rFonts w:ascii="MS PGothic" w:cs="MS PGothic" w:eastAsia="MS PGothic" w:hAnsi="MS PGothic"/>
          <w:sz w:val="18"/>
          <w:szCs w:val="18"/>
          <w:color w:val="auto"/>
          <w:highlight w:val="black"/>
        </w:rPr>
      </w:pPr>
    </w:p>
    <w:p>
      <w:pPr>
        <w:ind w:firstLine="8"/>
        <w:spacing w:after="0" w:line="286" w:lineRule="auto"/>
        <w:tabs>
          <w:tab w:leader="none" w:pos="208" w:val="left"/>
        </w:tabs>
        <w:numPr>
          <w:ilvl w:val="0"/>
          <w:numId w:val="7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Party B does not enjoy a rent-free period, and rent, comprehensive service fees, and other expenses shall be calculated from the start date of the lease term specified in clause 3.1 or 3.2 of this contract.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3.4 If Party B agrees to Party C’s delayed delivery of the leased property, the parties may sign a supplementary agreement to reschedule dates, generally postponed by the actual delayed days; Party C shall assist in communication regarding the delay.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Party C’s service term is consistent with Party B’s lease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Lease Expenses and Other Expenses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4.1 The total leasing fee for a full month in the first year is RMB 37,000.00/month/suite (tax included). This includes rent (RMB 18,868.22) and the comprehensive service fee (RMB 18,131.78).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Rent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4.2.1 Initial Rent: Party B shall pay the initial rent total of RMB 28,606.66 (covering Dec 16, 2025 - Jan 31, 2026) within 5 working days after signing this contract to Party A’s designated account.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4.2.2 Rent payment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4.2.2.1 For Lease Method One, the rent payment schedule shall be as follows (excluding the initial rent):</w:t>
      </w:r>
    </w:p>
    <w:p>
      <w:pPr>
        <w:spacing w:after="0" w:line="225" w:lineRule="exact"/>
        <w:rPr>
          <w:sz w:val="20"/>
          <w:szCs w:val="20"/>
          <w:color w:val="auto"/>
        </w:rPr>
      </w:pPr>
    </w:p>
    <w:p>
      <w:pPr>
        <w:ind w:left="220" w:hanging="212"/>
        <w:spacing w:after="0"/>
        <w:tabs>
          <w:tab w:leader="none" w:pos="220" w:val="left"/>
        </w:tabs>
        <w:numPr>
          <w:ilvl w:val="0"/>
          <w:numId w:val="7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Rent shall be paid monthly, and Party B shall pay the current month’s rent to Party A before the 5th day of each month.</w:t>
      </w:r>
    </w:p>
    <w:p>
      <w:pPr>
        <w:spacing w:after="0" w:line="225" w:lineRule="exact"/>
        <w:rPr>
          <w:rFonts w:ascii="MS PGothic" w:cs="MS PGothic" w:eastAsia="MS PGothic" w:hAnsi="MS PGothic"/>
          <w:sz w:val="18"/>
          <w:szCs w:val="18"/>
          <w:color w:val="auto"/>
          <w:highlight w:val="black"/>
        </w:rPr>
      </w:pPr>
    </w:p>
    <w:p>
      <w:pPr>
        <w:ind w:left="220" w:hanging="212"/>
        <w:spacing w:after="0"/>
        <w:tabs>
          <w:tab w:leader="none" w:pos="220" w:val="left"/>
        </w:tabs>
        <w:numPr>
          <w:ilvl w:val="0"/>
          <w:numId w:val="7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Rent shall be paid quarterly, and Party B shall pay the current quarter’s rent to Party A before the 5th day of the first month of each quarter.</w:t>
      </w:r>
    </w:p>
    <w:p>
      <w:pPr>
        <w:spacing w:after="0" w:line="225" w:lineRule="exact"/>
        <w:rPr>
          <w:rFonts w:ascii="MS PGothic" w:cs="MS PGothic" w:eastAsia="MS PGothic" w:hAnsi="MS PGothic"/>
          <w:sz w:val="18"/>
          <w:szCs w:val="18"/>
          <w:color w:val="auto"/>
          <w:highlight w:val="black"/>
        </w:rPr>
      </w:pPr>
    </w:p>
    <w:p>
      <w:pPr>
        <w:ind w:left="220" w:hanging="212"/>
        <w:spacing w:after="0"/>
        <w:tabs>
          <w:tab w:leader="none" w:pos="220" w:val="left"/>
        </w:tabs>
        <w:numPr>
          <w:ilvl w:val="0"/>
          <w:numId w:val="7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Rent shall be paid annually, and Party B shall pay the annual rent to Party A within 5 days after the beginning of each lease contract year.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4.2.2.2 For Lease Method Two, the rent payment schedule shall be as follows:</w:t>
      </w:r>
    </w:p>
    <w:p>
      <w:pPr>
        <w:spacing w:after="0" w:line="225" w:lineRule="exact"/>
        <w:rPr>
          <w:sz w:val="20"/>
          <w:szCs w:val="20"/>
          <w:color w:val="auto"/>
        </w:rPr>
      </w:pPr>
    </w:p>
    <w:p>
      <w:pPr>
        <w:ind w:left="220" w:hanging="212"/>
        <w:spacing w:after="0"/>
        <w:tabs>
          <w:tab w:leader="none" w:pos="220" w:val="left"/>
        </w:tabs>
        <w:numPr>
          <w:ilvl w:val="0"/>
          <w:numId w:val="77"/>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Rent /</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the contractually agreed rent payment date falls on a Saturday, Sunday, or statutory holiday, payment shall be postponed to the first working day after the above time period ends.</w:t>
      </w:r>
    </w:p>
    <w:p>
      <w:pPr>
        <w:spacing w:after="0" w:line="118"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4.2.3 After receiving Party B’s rent, Party A shall send a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VAT special /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VAT ordinary electronic invoice to the email address designated by Party B.</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B’s invoicing information is as follows: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Taxpayer identification number: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account number: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B’s designated email address: /</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4.2.4 Party A and Party B agree that during the lease term, the unit rent price shall increase by /% every / year starting from the /th lease year, based on the previous year’s unit rent price. Details are shown in the table below:</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41"/>
        </w:trPr>
        <w:tc>
          <w:tcPr>
            <w:tcW w:w="60" w:type="dxa"/>
            <w:vAlign w:val="bottom"/>
            <w:tcBorders>
              <w:top w:val="single" w:sz="8" w:color="auto"/>
              <w:left w:val="single" w:sz="8" w:color="auto"/>
            </w:tcBorders>
          </w:tcPr>
          <w:p>
            <w:pPr>
              <w:spacing w:after="0"/>
              <w:rPr>
                <w:sz w:val="3"/>
                <w:szCs w:val="3"/>
                <w:color w:val="auto"/>
              </w:rPr>
            </w:pPr>
          </w:p>
        </w:tc>
        <w:tc>
          <w:tcPr>
            <w:tcW w:w="25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3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rent</w:t>
            </w:r>
          </w:p>
        </w:tc>
        <w:tc>
          <w:tcPr>
            <w:tcW w:w="4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rent</w:t>
            </w:r>
          </w:p>
        </w:tc>
        <w:tc>
          <w:tcPr>
            <w:tcW w:w="4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including tax</w:t>
            </w:r>
          </w:p>
        </w:tc>
        <w:tc>
          <w:tcPr>
            <w:tcW w:w="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tax</w:t>
            </w:r>
          </w:p>
        </w:tc>
        <w:tc>
          <w:tcPr>
            <w:tcW w:w="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rent</w:t>
            </w:r>
          </w:p>
        </w:tc>
        <w:tc>
          <w:tcPr>
            <w:tcW w:w="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rent</w:t>
            </w:r>
          </w:p>
        </w:tc>
        <w:tc>
          <w:tcPr>
            <w:tcW w:w="40" w:type="dxa"/>
            <w:vAlign w:val="bottom"/>
            <w:tcBorders>
              <w:right w:val="single" w:sz="8" w:color="auto"/>
            </w:tcBorders>
          </w:tcPr>
          <w:p>
            <w:pPr>
              <w:spacing w:after="0"/>
              <w:rPr>
                <w:sz w:val="18"/>
                <w:szCs w:val="18"/>
                <w:color w:val="auto"/>
              </w:rPr>
            </w:pPr>
          </w:p>
        </w:tc>
      </w:tr>
      <w:tr>
        <w:trPr>
          <w:trHeight w:val="249"/>
        </w:trPr>
        <w:tc>
          <w:tcPr>
            <w:tcW w:w="60" w:type="dxa"/>
            <w:vAlign w:val="bottom"/>
            <w:tcBorders>
              <w:left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Start and end date</w:t>
            </w:r>
          </w:p>
        </w:tc>
        <w:tc>
          <w:tcPr>
            <w:tcW w:w="40" w:type="dxa"/>
            <w:vAlign w:val="bottom"/>
            <w:tcBorders>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(RMB/unit)</w:t>
            </w:r>
          </w:p>
        </w:tc>
        <w:tc>
          <w:tcPr>
            <w:tcW w:w="40" w:type="dxa"/>
            <w:vAlign w:val="bottom"/>
            <w:tcBorders>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(RMB/unit)</w:t>
            </w:r>
          </w:p>
        </w:tc>
        <w:tc>
          <w:tcPr>
            <w:tcW w:w="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tax</w:t>
            </w:r>
          </w:p>
        </w:tc>
        <w:tc>
          <w:tcPr>
            <w:tcW w:w="40" w:type="dxa"/>
            <w:vAlign w:val="bottom"/>
            <w:tcBorders>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including tax</w:t>
            </w:r>
          </w:p>
        </w:tc>
        <w:tc>
          <w:tcPr>
            <w:tcW w:w="40" w:type="dxa"/>
            <w:vAlign w:val="bottom"/>
            <w:tcBorders>
              <w:right w:val="single" w:sz="8" w:color="auto"/>
            </w:tcBorders>
          </w:tcPr>
          <w:p>
            <w:pPr>
              <w:spacing w:after="0"/>
              <w:rPr>
                <w:sz w:val="21"/>
                <w:szCs w:val="21"/>
                <w:color w:val="auto"/>
              </w:rPr>
            </w:pPr>
          </w:p>
        </w:tc>
      </w:tr>
      <w:tr>
        <w:trPr>
          <w:trHeight w:val="21"/>
        </w:trPr>
        <w:tc>
          <w:tcPr>
            <w:tcW w:w="2600" w:type="dxa"/>
            <w:vAlign w:val="bottom"/>
            <w:tcBorders>
              <w:left w:val="single" w:sz="8" w:color="auto"/>
            </w:tcBorders>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344"/>
        </w:trPr>
        <w:tc>
          <w:tcPr>
            <w:tcW w:w="60" w:type="dxa"/>
            <w:vAlign w:val="bottom"/>
            <w:tcBorders>
              <w:left w:val="single" w:sz="8" w:color="auto"/>
              <w:right w:val="single" w:sz="8" w:color="auto"/>
            </w:tcBorders>
          </w:tcPr>
          <w:p>
            <w:pPr>
              <w:spacing w:after="0"/>
              <w:rPr>
                <w:sz w:val="24"/>
                <w:szCs w:val="24"/>
                <w:color w:val="auto"/>
              </w:rPr>
            </w:pPr>
          </w:p>
        </w:tc>
        <w:tc>
          <w:tcPr>
            <w:tcW w:w="25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2025/12/16-2028/1/15</w:t>
            </w:r>
          </w:p>
        </w:tc>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18868.22</w:t>
            </w:r>
          </w:p>
        </w:tc>
        <w:tc>
          <w:tcPr>
            <w:tcW w:w="4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17969.73</w:t>
            </w:r>
          </w:p>
        </w:tc>
        <w:tc>
          <w:tcPr>
            <w:tcW w:w="40" w:type="dxa"/>
            <w:vAlign w:val="bottom"/>
            <w:tcBorders>
              <w:right w:val="single" w:sz="8" w:color="auto"/>
            </w:tcBorders>
          </w:tcPr>
          <w:p>
            <w:pPr>
              <w:spacing w:after="0"/>
              <w:rPr>
                <w:sz w:val="24"/>
                <w:szCs w:val="24"/>
                <w:color w:val="auto"/>
              </w:rPr>
            </w:pP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449243.25</w:t>
            </w:r>
          </w:p>
        </w:tc>
        <w:tc>
          <w:tcPr>
            <w:tcW w:w="40" w:type="dxa"/>
            <w:vAlign w:val="bottom"/>
            <w:tcBorders>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471705.5</w:t>
            </w: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25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449243.25</w:t>
            </w:r>
          </w:p>
        </w:tc>
        <w:tc>
          <w:tcPr>
            <w:tcW w:w="40" w:type="dxa"/>
            <w:vAlign w:val="bottom"/>
            <w:tcBorders>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471705.5</w:t>
            </w: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Among them: the contract tax rate is 5%, and the total contract tax amount is RMB 22,462.25 (in words: Twenty-two thousand four hundred sixty-two yuan and twenty-five fen).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4.2.5 Method of rent payment: Before the agreed rent payment date, Party B shall pay the rent by bank transfer to the following account designated by Party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 Shenzhen Space Science High-Tech Investment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China Merchants Bank Shenzhen Binhai Sub-branch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 755914472710860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Payment by Party B only to the above account shall be deemed valid payment. If Party A’s account changes, Party A shall notify Party B in writing in the manner stipulated in this contract. Without such notice, Party B shall not pay to any other account.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4.2.6 Rent includes tax (current VAT rate 5%). If national tax laws change, the tax-exclusive price remains unchanged, but the tax amount and tax-inclusive price will adjust accordingly. Party A will notify Party B in writing.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4.2.7 Party B confirms and agrees that regardless of any reason (including disputes with Party C), Party B shall not refuse, delay, or deduct rent payable to Party A on the grounds of disputes.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Comprehensive Service Fee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4.3.1 Initial service fee: Party B shall pay the □ first month / □ quarter / □ annual comprehensive service fee for the initial period (initial period: December 16, 2025 to January 31, 2026), in the total amount of RMB 27,490.12 (in words: Twenty-seven thousand four hundred ninety yuan and twelve fen). Party B shall pay the first month/quarter/year comprehensive service fee to the account designated by Party C within 5 working days after signing this contract. Party B and Party C agree that if the first month/quarter/year or the final period is less than a full month/quarter/year, Party B shall calculate the comprehensive service fee for that period based on the actual number of days leased.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4.3.2 Comprehensive service fee payment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4.3.2.1 For Lease Method One, the comprehensive service fee payment schedule shall be as follows:</w:t>
      </w:r>
    </w:p>
    <w:p>
      <w:pPr>
        <w:spacing w:after="0" w:line="225" w:lineRule="exact"/>
        <w:rPr>
          <w:sz w:val="20"/>
          <w:szCs w:val="20"/>
          <w:color w:val="auto"/>
        </w:rPr>
      </w:pPr>
    </w:p>
    <w:p>
      <w:pPr>
        <w:ind w:firstLine="8"/>
        <w:spacing w:after="0" w:line="286" w:lineRule="auto"/>
        <w:tabs>
          <w:tab w:leader="none" w:pos="207" w:val="left"/>
        </w:tabs>
        <w:numPr>
          <w:ilvl w:val="0"/>
          <w:numId w:val="78"/>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comprehensive service fee shall be paid monthly, and Party B shall pay the current month’s comprehensive service fee to Party C before the 5th day of each month.</w:t>
      </w:r>
    </w:p>
    <w:p>
      <w:pPr>
        <w:spacing w:after="0" w:line="154" w:lineRule="exact"/>
        <w:rPr>
          <w:rFonts w:ascii="MS PGothic" w:cs="MS PGothic" w:eastAsia="MS PGothic" w:hAnsi="MS PGothic"/>
          <w:sz w:val="18"/>
          <w:szCs w:val="18"/>
          <w:color w:val="auto"/>
          <w:highlight w:val="black"/>
        </w:rPr>
      </w:pPr>
    </w:p>
    <w:p>
      <w:pPr>
        <w:ind w:firstLine="8"/>
        <w:spacing w:after="0" w:line="286" w:lineRule="auto"/>
        <w:tabs>
          <w:tab w:leader="none" w:pos="208" w:val="left"/>
        </w:tabs>
        <w:numPr>
          <w:ilvl w:val="0"/>
          <w:numId w:val="78"/>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comprehensive service fee shall be paid quarterly, and Party B shall pay the current quarter’s comprehensive service fee to Party C before the 5th day of the first month of each quarter.</w:t>
      </w:r>
    </w:p>
    <w:p>
      <w:pPr>
        <w:spacing w:after="0" w:line="154" w:lineRule="exact"/>
        <w:rPr>
          <w:rFonts w:ascii="MS PGothic" w:cs="MS PGothic" w:eastAsia="MS PGothic" w:hAnsi="MS PGothic"/>
          <w:sz w:val="18"/>
          <w:szCs w:val="18"/>
          <w:color w:val="auto"/>
          <w:highlight w:val="black"/>
        </w:rPr>
      </w:pPr>
    </w:p>
    <w:p>
      <w:pPr>
        <w:ind w:firstLine="8"/>
        <w:spacing w:after="0" w:line="286" w:lineRule="auto"/>
        <w:tabs>
          <w:tab w:leader="none" w:pos="204" w:val="left"/>
        </w:tabs>
        <w:numPr>
          <w:ilvl w:val="0"/>
          <w:numId w:val="78"/>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comprehensive service fee shall be paid annually, and Party B shall pay the annual comprehensive service fee to Party C within 5 days after the beginning of each lease contract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4.3.2.2 For Lease Method Two, the comprehensive service fee payment schedule shall be as follows:</w:t>
      </w:r>
    </w:p>
    <w:p>
      <w:pPr>
        <w:spacing w:after="0" w:line="225" w:lineRule="exact"/>
        <w:rPr>
          <w:sz w:val="20"/>
          <w:szCs w:val="20"/>
          <w:color w:val="auto"/>
        </w:rPr>
      </w:pPr>
    </w:p>
    <w:p>
      <w:pPr>
        <w:ind w:left="220" w:hanging="212"/>
        <w:spacing w:after="0"/>
        <w:tabs>
          <w:tab w:leader="none" w:pos="220" w:val="left"/>
        </w:tabs>
        <w:numPr>
          <w:ilvl w:val="0"/>
          <w:numId w:val="79"/>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Comprehensive service fee _.</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the agreed comprehensive service fee payment date falls on a Saturday, Sunday, or statutory holiday, payment shall be postponed to the first working day after the above time period ends.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4.3.3 Party B and Party C agree that during the lease term, the unit price of the comprehensive service fee shall be as shown in the table below:</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1"/>
        </w:trPr>
        <w:tc>
          <w:tcPr>
            <w:tcW w:w="60" w:type="dxa"/>
            <w:vAlign w:val="bottom"/>
            <w:tcBorders>
              <w:top w:val="single" w:sz="8" w:color="auto"/>
              <w:lef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9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w:t>
            </w:r>
          </w:p>
        </w:tc>
        <w:tc>
          <w:tcPr>
            <w:tcW w:w="4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w:t>
            </w:r>
          </w:p>
        </w:tc>
        <w:tc>
          <w:tcPr>
            <w:tcW w:w="4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 service</w:t>
            </w:r>
          </w:p>
        </w:tc>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 service</w:t>
            </w:r>
          </w:p>
        </w:tc>
        <w:tc>
          <w:tcPr>
            <w:tcW w:w="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service fee</w:t>
            </w:r>
          </w:p>
        </w:tc>
        <w:tc>
          <w:tcPr>
            <w:tcW w:w="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service</w:t>
            </w:r>
          </w:p>
        </w:tc>
        <w:tc>
          <w:tcPr>
            <w:tcW w:w="40" w:type="dxa"/>
            <w:vAlign w:val="bottom"/>
            <w:tcBorders>
              <w:right w:val="single" w:sz="8" w:color="auto"/>
            </w:tcBorders>
          </w:tcPr>
          <w:p>
            <w:pPr>
              <w:spacing w:after="0"/>
              <w:rPr>
                <w:sz w:val="18"/>
                <w:szCs w:val="18"/>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including tax</w:t>
            </w:r>
          </w:p>
        </w:tc>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excluding tax</w:t>
            </w:r>
          </w:p>
        </w:tc>
        <w:tc>
          <w:tcPr>
            <w:tcW w:w="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tax</w:t>
            </w:r>
          </w:p>
        </w:tc>
        <w:tc>
          <w:tcPr>
            <w:tcW w:w="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including tax</w:t>
            </w:r>
          </w:p>
        </w:tc>
        <w:tc>
          <w:tcPr>
            <w:tcW w:w="40" w:type="dxa"/>
            <w:vAlign w:val="bottom"/>
            <w:tcBorders>
              <w:right w:val="single" w:sz="8" w:color="auto"/>
            </w:tcBorders>
          </w:tcPr>
          <w:p>
            <w:pPr>
              <w:spacing w:after="0"/>
              <w:rPr>
                <w:sz w:val="18"/>
                <w:szCs w:val="18"/>
                <w:color w:val="auto"/>
              </w:rPr>
            </w:pPr>
          </w:p>
        </w:tc>
      </w:tr>
      <w:tr>
        <w:trPr>
          <w:trHeight w:val="249"/>
        </w:trPr>
        <w:tc>
          <w:tcPr>
            <w:tcW w:w="6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Start and end date</w:t>
            </w:r>
          </w:p>
        </w:tc>
        <w:tc>
          <w:tcPr>
            <w:tcW w:w="40" w:type="dxa"/>
            <w:vAlign w:val="bottom"/>
            <w:tcBorders>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 w:type="dxa"/>
            <w:vAlign w:val="bottom"/>
            <w:tcBorders>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 w:type="dxa"/>
            <w:vAlign w:val="bottom"/>
            <w:tcBorders>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 w:type="dxa"/>
            <w:vAlign w:val="bottom"/>
            <w:tcBorders>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 w:type="dxa"/>
            <w:vAlign w:val="bottom"/>
            <w:tcBorders>
              <w:right w:val="single" w:sz="8" w:color="auto"/>
            </w:tcBorders>
          </w:tcPr>
          <w:p>
            <w:pPr>
              <w:spacing w:after="0"/>
              <w:rPr>
                <w:sz w:val="21"/>
                <w:szCs w:val="21"/>
                <w:color w:val="auto"/>
              </w:rPr>
            </w:pPr>
          </w:p>
        </w:tc>
      </w:tr>
      <w:tr>
        <w:trPr>
          <w:trHeight w:val="20"/>
        </w:trPr>
        <w:tc>
          <w:tcPr>
            <w:tcW w:w="172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312"/>
        </w:trPr>
        <w:tc>
          <w:tcPr>
            <w:tcW w:w="60" w:type="dxa"/>
            <w:vAlign w:val="bottom"/>
            <w:tcBorders>
              <w:left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2025/12/16-</w:t>
            </w:r>
          </w:p>
        </w:tc>
        <w:tc>
          <w:tcPr>
            <w:tcW w:w="40" w:type="dxa"/>
            <w:vAlign w:val="bottom"/>
            <w:tcBorders>
              <w:right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80" w:type="dxa"/>
            <w:vAlign w:val="bottom"/>
            <w:tcBorders>
              <w:top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49"/>
        </w:trPr>
        <w:tc>
          <w:tcPr>
            <w:tcW w:w="6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2028/1/15</w:t>
            </w:r>
          </w:p>
        </w:tc>
        <w:tc>
          <w:tcPr>
            <w:tcW w:w="40" w:type="dxa"/>
            <w:vAlign w:val="bottom"/>
            <w:tcBorders>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18131.78</w:t>
            </w:r>
          </w:p>
        </w:tc>
        <w:tc>
          <w:tcPr>
            <w:tcW w:w="40" w:type="dxa"/>
            <w:vAlign w:val="bottom"/>
            <w:tcBorders>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17268.36</w:t>
            </w:r>
          </w:p>
        </w:tc>
        <w:tc>
          <w:tcPr>
            <w:tcW w:w="40" w:type="dxa"/>
            <w:vAlign w:val="bottom"/>
            <w:tcBorders>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431709</w:t>
            </w:r>
          </w:p>
        </w:tc>
        <w:tc>
          <w:tcPr>
            <w:tcW w:w="40" w:type="dxa"/>
            <w:vAlign w:val="bottom"/>
            <w:tcBorders>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453294.5</w:t>
            </w:r>
          </w:p>
        </w:tc>
        <w:tc>
          <w:tcPr>
            <w:tcW w:w="40" w:type="dxa"/>
            <w:vAlign w:val="bottom"/>
            <w:tcBorders>
              <w:right w:val="single" w:sz="8" w:color="auto"/>
            </w:tcBorders>
          </w:tcPr>
          <w:p>
            <w:pPr>
              <w:spacing w:after="0"/>
              <w:rPr>
                <w:sz w:val="21"/>
                <w:szCs w:val="2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16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right w:val="single" w:sz="8" w:color="auto"/>
            </w:tcBorders>
          </w:tcPr>
          <w:p>
            <w:pPr>
              <w:spacing w:after="0"/>
              <w:rPr>
                <w:sz w:val="24"/>
                <w:szCs w:val="24"/>
                <w:color w:val="auto"/>
              </w:rPr>
            </w:pPr>
          </w:p>
        </w:tc>
        <w:tc>
          <w:tcPr>
            <w:tcW w:w="240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8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431709</w:t>
            </w:r>
          </w:p>
        </w:tc>
        <w:tc>
          <w:tcPr>
            <w:tcW w:w="40" w:type="dxa"/>
            <w:vAlign w:val="bottom"/>
            <w:tcBorders>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453294.5</w:t>
            </w: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4.3.4 Method of payment of the comprehensive service fee: Before the agreed comprehensive service fee payment date, Party B shall pay the comprehensive service fee by bank transfer to the following account designated by Party 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 Wuyou Planning and Operation Management (Shenzhen)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Bank of Communications Shenzhen Yantian Sub-branch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 4430 6611 3013009767539</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Payment by Party B only to the above account shall be deemed valid payment. If Party C’s account changes, Party C shall notify Party B in writing in the manner stipulated in this contract. Without such notice, Party B shall not pay to any other account.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4.3.5 Party C shall issue a receipt voucher to Party B upon receiving the comprehensive service fee.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4.3.6 Party B confirms that the fee collected by Party C includes property management fees. Gaoke Property has the right to adjust its standards per Article 8.3. Party B accepts any resulting adjustments to the comprehensive service fee and shall not raise objections or seek deductions.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4.4.1 Charging standards for other expenses shall be subject to Gaoke Property’s notice.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4.4.2 From the delivery date, Party B shall bear other expenses monthly. These are not included in the leasing fees and must be paid additionally to Party 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Article 5 Lease Deposit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Payment of lease deposit. Party B confirms that the lease deposit shall be paid in the following manner:</w:t>
      </w:r>
    </w:p>
    <w:p>
      <w:pPr>
        <w:spacing w:after="0" w:line="225" w:lineRule="exact"/>
        <w:rPr>
          <w:sz w:val="20"/>
          <w:szCs w:val="20"/>
          <w:color w:val="auto"/>
        </w:rPr>
      </w:pPr>
    </w:p>
    <w:p>
      <w:pPr>
        <w:jc w:val="both"/>
        <w:ind w:firstLine="8"/>
        <w:spacing w:after="0" w:line="262" w:lineRule="auto"/>
        <w:tabs>
          <w:tab w:leader="none" w:pos="223" w:val="left"/>
        </w:tabs>
        <w:numPr>
          <w:ilvl w:val="0"/>
          <w:numId w:val="8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lease deposit shall be paid in cash. Party B shall, within 5 working days after signing this contract, pay the lease deposit to the account designated in clause 4.2.5 of Party A, in an amount equal to 2 times the total rent for the first full month of the first year, namely RMB 37,736.44 (in words: Thirty-seven thousand seven hundred thirty-six yuan and forty-four fen). After Party A receives Party B’s lease deposit, Party A shall issue a receipt to Party B;</w:t>
      </w:r>
    </w:p>
    <w:p>
      <w:pPr>
        <w:spacing w:after="0" w:line="176" w:lineRule="exact"/>
        <w:rPr>
          <w:rFonts w:ascii="MS PGothic" w:cs="MS PGothic" w:eastAsia="MS PGothic" w:hAnsi="MS PGothic"/>
          <w:sz w:val="18"/>
          <w:szCs w:val="18"/>
          <w:color w:val="auto"/>
          <w:highlight w:val="black"/>
        </w:rPr>
      </w:pPr>
    </w:p>
    <w:p>
      <w:pPr>
        <w:jc w:val="both"/>
        <w:ind w:firstLine="8"/>
        <w:spacing w:after="0" w:line="268" w:lineRule="auto"/>
        <w:tabs>
          <w:tab w:leader="none" w:pos="208" w:val="left"/>
        </w:tabs>
        <w:numPr>
          <w:ilvl w:val="0"/>
          <w:numId w:val="8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lease deposit shall be paid by bank performance guarantee. Party B shall, within 20 working days after signing this contract, provide Party A with an original bank performance guarantee as the lease deposit, and the guaranteed amount of the bank performance guarantee shall not be less than 2 times the total rent for the first full month of the first year.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Where the lease deposit is paid in cash, Party B shall pay the lease deposit to the account designated by Party A, and any payment to any other account shall be deemed Party B’s failure to perform its payment obligation; where the lease deposit is paid by bank performance guarantee, the beneficiary of the guarantee shall be and shall only be Party A, and any guarantee designating any other beneficiary shall be deemed Party B’s failure to perform its payment obligation.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5.2 The deposit is not prepaid rent or other fees, but only a guarantee for Party B’s performance of its obligations. During the lease term, Party B shall not demand to deduct its payable amounts from the deposit for any reason.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If the contract is terminated due to Party B’s breach during the lease term, the deposit will not be refunded.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Refund of lease deposit.</w:t>
      </w:r>
    </w:p>
    <w:p>
      <w:pPr>
        <w:spacing w:after="0" w:line="225" w:lineRule="exact"/>
        <w:rPr>
          <w:sz w:val="20"/>
          <w:szCs w:val="20"/>
          <w:color w:val="auto"/>
        </w:rPr>
      </w:pPr>
    </w:p>
    <w:p>
      <w:pPr>
        <w:jc w:val="both"/>
        <w:ind w:firstLine="8"/>
        <w:spacing w:after="0" w:line="262" w:lineRule="auto"/>
        <w:tabs>
          <w:tab w:leader="none" w:pos="229" w:val="left"/>
        </w:tabs>
        <w:numPr>
          <w:ilvl w:val="0"/>
          <w:numId w:val="8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Where Party B has paid the lease deposit in cash. When Party B simultaneously satisfies the following conditions, Party A shall, within 15 working days after the lease term expires or this contract is terminated, refund the lease deposit to Party B in one lump sum without interest through the original payment path, i.e., to the bank account used when the deposit was paid, and retrieve the issued receipt or have Party B issue a receipt to Party A. Party B must simultaneously satisfy the following conditions:</w:t>
      </w:r>
    </w:p>
    <w:p>
      <w:pPr>
        <w:spacing w:after="0" w:line="176" w:lineRule="exact"/>
        <w:rPr>
          <w:sz w:val="20"/>
          <w:szCs w:val="20"/>
          <w:color w:val="auto"/>
        </w:rPr>
      </w:pPr>
    </w:p>
    <w:p>
      <w:pPr>
        <w:ind w:firstLine="8"/>
        <w:spacing w:after="0" w:line="286" w:lineRule="auto"/>
        <w:tabs>
          <w:tab w:leader="none" w:pos="25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settled all lease expenses and other expenses under this contract, except as otherwise provided in clauses 16.2(2) and 16.2(3) of this contract;</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63"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completed the return of the leased premises (including ancillary facilities) and handled the return procedures in accordance with clause 11.2 of this contract;</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(including Party B’s affiliates) uses the leased premises and/or other premises in the Project as a business registration address, the business registration address transfer or cancellation procedures have been completed.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ind w:firstLine="8"/>
        <w:spacing w:after="0" w:line="268" w:lineRule="auto"/>
        <w:tabs>
          <w:tab w:leader="none" w:pos="207" w:val="left"/>
        </w:tabs>
        <w:numPr>
          <w:ilvl w:val="0"/>
          <w:numId w:val="8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Where Party B has paid the lease deposit by bank performance guarantee. When Party B simultaneously satisfies the following conditions, after Party B submits a written refund application to Party A, Party A shall return the bank performance guarantee to Party B within 15 working days after the lease term expires or this contract is terminated. Party B must simultaneously satisfy the following conditions:</w:t>
      </w:r>
    </w:p>
    <w:p>
      <w:pPr>
        <w:spacing w:after="0" w:line="171" w:lineRule="exact"/>
        <w:rPr>
          <w:sz w:val="20"/>
          <w:szCs w:val="20"/>
          <w:color w:val="auto"/>
        </w:rPr>
      </w:pPr>
    </w:p>
    <w:p>
      <w:pPr>
        <w:ind w:firstLine="8"/>
        <w:spacing w:after="0" w:line="286" w:lineRule="auto"/>
        <w:tabs>
          <w:tab w:leader="none" w:pos="25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settled all lease expenses and other expenses under this contract, except as otherwise provided in clauses 16.2(2) and 16.2(3) of this contract;</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63"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completed the return of the leased premises (including ancillary facilities) and handled the return procedures in accordance with clause 11.2 of this contract;</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(including Party B’s affiliates) uses the leased premises and/or other premises in the Project as a business registration address, the business registration address transfer or cancellation procedures have been completed.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Related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According to laws and regulations, the three parties shall each pay the taxes and fees related to this lease.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6.2 If Party B needs to conduct promotional activities in this project, it must submit a written application to Party C in advance and obtain Party C’s written consent.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Party B shall actively cooperate when Party A and/or Party C conducts promotional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Delivery and Acceptance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7.1 Party A, Party B, and Party C confirm that Party C is responsible for delivering the leased premises. Party C shall deliver the leased premises in its current condition before December 16, 2025, and Party B raises no objection. Party B shall independently evaluate the decoration left in the leased premises, and whether used directly or after modification, Party B shall ensure compliance with relevant national laws and standards.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three parties confirm that any decoration remaining in the leased premises (including but not limited to design, construction, materials, quality, environmental protection, and fire safety) is the responsibility of Party C. Party A bears no responsibility for the remaining decoration in the leased premises or for any issues arising from such decoration. Matters concerning decoration warranty, repair, maintenance, and quality objections shall be raised directly by Party B to Party C, and Party C shall bear full responsibility. Party A has no obligation to coordinate and bears no joint liability for such issues.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7.2 Before the delivery date specified in clause 7.1, Party B shall inspect the leased premises and the condition of the equipment and facilities, sign the “Leased Premises Delivery Confirmation Form” with Party C (see Appendix 4), and complete the delivery and acceptance procedures.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7.3 The three parties specifically confirm that if Party B refuses to handle the delivery and acceptance procedures without a legitimate reason under clause 7.4, the leased premises shall be deemed delivered by Party C to Party B in accordance with the contract as of the delivery date specified in clause 7.1.</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7.4 When accepting the leased premises, if Party B believes there is a quality problem with the main structural components, Party B must provide a main structural quality inspection report issued by a qualified third-party professional body recognized by Party A and Party C (and capable of filing with the relevant government quality inspection department). Otherwise, Party B may not refuse to accept the leased premises for any reason, and after accepting the leased premises may not use this as a basis to request an extension of the rent-free period or reductions in rent, comprehensive service fees, or other expenses. Any issues discovered or raised by Party B during acceptance other than main structural quality issues are acknowledged by Party B as repairable matters, and Party C shall be responsible for repair and rectification after Party B accepts the leased premises, but such issues shall not constitute grounds for Party B to refuse acceptance.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Article 8 Property Management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8.1 Gaoke Property shall uniformly provide property services for the public areas of Space Science and Technology Plaza. Party B agrees to and accepts Gaoke Property’s property management and services, and shall comply with Gaoke Property’s unified management requirements and rules when using the leased premises.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8.2 The daily supply time of the office building’s central air conditioning is 8:00–19:00 from Monday to Sunday, excluding statutory holidays (hereinafter referred to as “daily supply time”). Use of central air conditioning outside daily supply time requires payment of overtime fees for central air conditioning. If there is a make-up workday arrangement for statutory holidays, the holiday shall be treated as non-daily supply time, and the make-up workday shall be treated as daily supply time. Central air-conditioning overtime fee: RMB 0.35 per square meter per hour (calculated from 1 hour, any period less than 1 hour is counted as 1 hour; if the amount is less than RMB 350 per hour, it shall be charged as RMB 350 per hour);</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8.3 During the lease term, Gaoke Property has the right to adjust the charging standards for property management-related fees and other expenses based on actual circumstances, but each adjustment must be notified to Party C and Party B in writing 60 calendar days in advance. Party B and Party C shall begin paying the corresponding fees according to the new standards at the time specified in the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Use and Repair of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Party B shall use the leased premises and its ancillary facilities normally and reasonably, and use water and electricity safely.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9.2 During the lease term, Party A shall not bear the repair responsibility for the ancillary facilities of the leased premises. If Party B discovers damage or malfunction to the ancillary facilities of the leased premises, Party B shall promptly notify Party C for repair. Party C shall complete the repair within a reasonable period after receiving Party B’s notice and bear the corresponding repair costs. If Party C refuses to carry out the repair, or if immediate repair is necessary due to urgency, Party B may carry out the repair on Party C’s behalf, and the relevant repair costs (for which Party B must provide an approval document issued by a qualified third-party cost consulting agency) shall be borne by Party C.</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9.3 If damage or malfunction to the leased premises or ancillary facilities (including Party B’s decoration, renovations, and added facilities/equipment) is caused by Party B’s intentional act or improper use, Party B shall be responsible for repair, and Party A and/or Party C shall have no repair obligation.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9.4 During the lease term, if Party C and/or Party B fails to timely perform the repair, maintenance, or other obligations stipulated in this contract, causing personal injury or property loss to the other party or a third party, the responsible party shall bear liability for compensation, and Party A shall not bear joint or supplementary liability.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9.5 If emergency repairs are required but Party B cannot be notified, or Party B has been notified but is unable to be present, Party A, Party C, or Gaoke Property may enter the leased premises to carry out emergency repair work. Party B’s emergency contact person is: Zhou Minghui, contact number: 13823613728.</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9.6 If any of the following acts or events occur, Party B must compensate. Such compensation includes but is not limited to any repair costs, any amounts expended by Party A or Gaoke Property due to claims or demands by others against Party A, Party C, or Gaoke Property, and all expenses and costs incurred by Party A, Party C, or Gaoke Property in pursuing claims against Party B:</w:t>
      </w:r>
    </w:p>
    <w:p>
      <w:pPr>
        <w:spacing w:after="0" w:line="171" w:lineRule="exact"/>
        <w:rPr>
          <w:sz w:val="20"/>
          <w:szCs w:val="20"/>
          <w:color w:val="auto"/>
        </w:rPr>
      </w:pPr>
    </w:p>
    <w:p>
      <w:pPr>
        <w:ind w:firstLine="8"/>
        <w:spacing w:after="0" w:line="286" w:lineRule="auto"/>
        <w:tabs>
          <w:tab w:leader="none" w:pos="28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Damage to Party A or Gaoke Property and any other person or property caused by malfunction, disrepair, or danger of any electrical installations, appliances, wiring, etc. in the leased premises;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Damage to Party A or Gaoke Property and any other person or property caused by damage or stoppage of operation of water pipes, toilets, or fixtures in the leased premises due to Party B’s reasons;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Damage to Party A, Gaoke Property, and third parties caused by fire or smoke spreading within the leased premises due to Party B’s reasons, or water from any source (including storm or rainwater due to windows not being closed) leaking or overflowing within the leased premises or any part thereof.</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9.7 In principle, Party A does not agree to any structural modifications by Party B and/or Party C. If necessary, Party B and/or Party C shall submit a written application to Party A and independently arrange for and provide design opinions and certification issued by a design entity recognized by Party A, and may implement the modifications only after obtaining Party A’s written consent.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9.8 During the lease term, if there is a power outage, water shutdown, or similar event caused by government functional departments, Party B shall fully cooperate and handle the response work within the leased premises, and Party A and/or Party C shall bear no responsibility as a result.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Sublease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10.1 During the lease term, without Party A’s and Party C’s written consent, Party B may not sublease, partially sublease, or otherwise allow any third party to use the leased premises in whole or in part, including but not limited to hanging or displaying a third party’s company name or abbreviation in common areas, or providing the leased premises address to any third party other than Party B for business registration purposes, etc. Party C shall supervise whether Party B has unlawfully subleased the premises, and if discovered shall immediately notify Party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10.2 If Party B needs to sublease, it must submit a written application to Party A and Party C at the same time. After obtaining Party A’s and Party C’s written consent, Party B may sublease the leased premises in whole or in part. Party B’s sublease procedures must be filed with Party A and Party C; the sublease term shall not exceed the lease term stipulated in this contract, and the sublessee may not further sublease. If Party B or the sublessee violates the foregoing provisions, Party A and/or Party C have the right to require Party B to rectify the breach. If Party B refuses to rectify the breach, Party A has the right to terminate this contract. If Party B or the sublessee’s breach causes losses to Party A and/or Party C, Party B shall bear liability for breach or compensate the losses to Party A and/or Party C.</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10.3 Party B has the obligation to supervise the business operations and activities of the sublessee. Once the sublessee engages in illegal or non-compliant conduct, or causes losses to Party A and/or Party C, Party B shall bear liability for breach or compensate the losses to Party A and/or Party 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Return of the Premises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11.1 Party B shall begin handling the return procedures for the leased premises with Party C 30 calendar days before the lease term expires or before this contract is terminated. On the date the lease term expires, Party B shall vacate and move out of the leased premises and return the leased premises and ancillary facilities to Party C as agreed.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11.2 When Party B returns the leased premises to Party C, Party B may choose:</w:t>
      </w:r>
    </w:p>
    <w:p>
      <w:pPr>
        <w:spacing w:after="0" w:line="225" w:lineRule="exact"/>
        <w:rPr>
          <w:sz w:val="20"/>
          <w:szCs w:val="20"/>
          <w:color w:val="auto"/>
        </w:rPr>
      </w:pPr>
    </w:p>
    <w:p>
      <w:pPr>
        <w:ind w:firstLine="8"/>
        <w:spacing w:after="0" w:line="286" w:lineRule="auto"/>
        <w:tabs>
          <w:tab w:leader="none" w:pos="225" w:val="left"/>
        </w:tabs>
        <w:numPr>
          <w:ilvl w:val="0"/>
          <w:numId w:val="8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Provided that Party B has not damaged the leased premises, or has fully repaired any damage and ensured that the leased premises can be normally and properly used, Party B may return the leased premises to Party C in its existing condition after moving out its belongings;</w:t>
      </w:r>
    </w:p>
    <w:p>
      <w:pPr>
        <w:spacing w:after="0" w:line="154" w:lineRule="exact"/>
        <w:rPr>
          <w:rFonts w:ascii="MS PGothic" w:cs="MS PGothic" w:eastAsia="MS PGothic" w:hAnsi="MS PGothic"/>
          <w:sz w:val="18"/>
          <w:szCs w:val="18"/>
          <w:color w:val="auto"/>
          <w:highlight w:val="black"/>
        </w:rPr>
      </w:pPr>
    </w:p>
    <w:p>
      <w:pPr>
        <w:ind w:left="220" w:hanging="212"/>
        <w:spacing w:after="0"/>
        <w:tabs>
          <w:tab w:leader="none" w:pos="220" w:val="left"/>
        </w:tabs>
        <w:numPr>
          <w:ilvl w:val="0"/>
          <w:numId w:val="8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Party B shall restore the leased premises to the initial condition at the time of delivery and return it to Party C;</w:t>
      </w:r>
    </w:p>
    <w:p>
      <w:pPr>
        <w:spacing w:after="0" w:line="225" w:lineRule="exact"/>
        <w:rPr>
          <w:rFonts w:ascii="MS PGothic" w:cs="MS PGothic" w:eastAsia="MS PGothic" w:hAnsi="MS PGothic"/>
          <w:sz w:val="18"/>
          <w:szCs w:val="18"/>
          <w:color w:val="auto"/>
          <w:highlight w:val="black"/>
        </w:rPr>
      </w:pPr>
    </w:p>
    <w:p>
      <w:pPr>
        <w:ind w:firstLine="8"/>
        <w:spacing w:after="0" w:line="286" w:lineRule="auto"/>
        <w:tabs>
          <w:tab w:leader="none" w:pos="209" w:val="left"/>
        </w:tabs>
        <w:numPr>
          <w:ilvl w:val="0"/>
          <w:numId w:val="8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Party B agrees that Party C or a third party entrusted by Party C shall restore the leased premises to the initial delivery condition, and Party B shall bear all expenses.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11.3 If Party B fails to move out and clear the leased premises on the date the lease term expires and fails to return the leased premises according to the standard specified in clause 11.2:</w:t>
      </w:r>
    </w:p>
    <w:p>
      <w:pPr>
        <w:spacing w:after="0" w:line="155" w:lineRule="exact"/>
        <w:rPr>
          <w:sz w:val="20"/>
          <w:szCs w:val="20"/>
          <w:color w:val="auto"/>
        </w:rPr>
      </w:pPr>
    </w:p>
    <w:p>
      <w:pPr>
        <w:jc w:val="both"/>
        <w:ind w:firstLine="8"/>
        <w:spacing w:after="0" w:line="268" w:lineRule="auto"/>
        <w:tabs>
          <w:tab w:leader="none" w:pos="277"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has the right, without notifying Party B, to enter and take back the leased premises on its own, and with Party A’s consent, stop property services and the supply of water, electricity, and other public utilities to the leased premises. Any resulting losses shall be borne by Party B;</w:t>
      </w:r>
    </w:p>
    <w:p>
      <w:pPr>
        <w:spacing w:after="0" w:line="170"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has the right, without notifying Party B, to treat all items left in the leased premises as abandoned property;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both"/>
        <w:ind w:firstLine="8"/>
        <w:spacing w:after="0" w:line="268" w:lineRule="auto"/>
        <w:tabs>
          <w:tab w:leader="none" w:pos="2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has the right to restore the leased premises to the original condition at the time of delivery itself or entrust a third party to do so. The expenses, losses (including but not limited to costs incurred for such restoration and vacancy losses during the restoration period), and liabilities arising therefrom shall be borne by Party B, and Party C reserves the right to seek recovery from Party B;</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6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date on which Party C disposes of Party B’s remaining belongings and restores the leased premises to the initial condition at the time of delivery or to another condition recognized by Party C shall be deemed the date Party B returned the leased premises. Party B shall pay Party A a possession fee based on the rent unit price as of the lease expiry date or the termination date and the number of days of delayed return.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11.4 Upon return of the leased premises, if damage caused by Party B is discovered, Party A and/or Party C have the right to dispose of the damaged items as abandoned property without notifying Party B. If costs are incurred in handling abandoned items left by Party B, Party C has the right to require Party B to bear such costs.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11.5 Upon return of the leased premises, if damage caused by Party B is discovered, Party A and/or Party C have the right to require Party B to take all measures to repair it. If Party B fails to repair or fails to complete repairs within the period required by Party A and/or Party C, causing property losses to Party A or affecting the re-letting of the leased premises, Party A and/or Party C have the right to require Party B to bear corresponding compensation liability.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11.6 When returning the leased premises, Party B and Party C shall inspect and verify the condition of the premises, ancillary items, facilities and equipment, and water and electricity usage, and sign the “Leased Premises Return Confirmation Form” (see Appendix 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11.7 Within 10 calendar days after the lease term expires or this contract is terminated, Party B shall complete the industrial and commercial cancellation or change procedures for any business registration address or business premises address using the leased premises or other premises of the Project used by Party B, and shall complete the cancellation of the lease filing of the leased premises (if 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Advertising Spaces and Parking Spaces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The advertising spaces of the Project shall be entitled to Party A. If Party B needs to use them, Party B must lease them from Party 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12.2 The parking spaces of the Project shall be managed by Gaoke Property. If Party B needs parking spaces, Party B must lease them from Gaoke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Rights and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13.1 Party A’s Rights</w:t>
      </w:r>
    </w:p>
    <w:p>
      <w:pPr>
        <w:spacing w:after="0" w:line="225" w:lineRule="exact"/>
        <w:rPr>
          <w:sz w:val="20"/>
          <w:szCs w:val="20"/>
          <w:color w:val="auto"/>
        </w:rPr>
      </w:pPr>
    </w:p>
    <w:p>
      <w:pPr>
        <w:ind w:left="5540" w:right="3700" w:hanging="5532"/>
        <w:spacing w:after="0" w:line="787" w:lineRule="auto"/>
        <w:tabs>
          <w:tab w:leader="none" w:pos="26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Party A enjoys full rights to lease out the leased premises and collect rent and the lease deposit; </w:t>
      </w: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ind w:firstLine="8"/>
        <w:spacing w:after="0" w:line="286" w:lineRule="auto"/>
        <w:tabs>
          <w:tab w:leader="none" w:pos="2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and Gaoke Property have the right to manage, repair, and maintain the common areas, common equipment, and common facilities of the Project;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has the right to reconstruct, decorate, and repair the Project, to change the structure of common areas and the layout of other facilities, and to close relevant common areas and common facilities. If such actions affect Party B’s operations, Party A shall notify Party B in advance of the construction plan and schedule and minimize the impact as much as possible, and Party B shall fully cooperate with Party A in carrying out such work.</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6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is only the lessor of the leased premises and is an independent legal entity from Party C. Any services provided by Party C are Party C’s independent acts, and any resulting liabilities shall be borne solely by Party C. Party B expressly agrees that any disputes or claims arising from receiving Party C’s services shall be asserted directly against Party C, and Party B shall not assert any rights against Party A. Party A shall bear no joint or supplementary compensation liability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 Party A’s Obligations</w:t>
      </w:r>
    </w:p>
    <w:p>
      <w:pPr>
        <w:spacing w:after="0" w:line="225" w:lineRule="exact"/>
        <w:rPr>
          <w:sz w:val="20"/>
          <w:szCs w:val="20"/>
          <w:color w:val="auto"/>
        </w:rPr>
      </w:pPr>
    </w:p>
    <w:p>
      <w:pPr>
        <w:ind w:firstLine="8"/>
        <w:spacing w:after="0" w:line="286" w:lineRule="auto"/>
        <w:tabs>
          <w:tab w:leader="none" w:pos="273"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if Party A transfers the leased premises, Party A shall give Party B and Party C written notice 30 calendar days in advance of the transfer, and Party B shall have the right of first purchase under equal conditions;</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Party B handles the licenses needed for leasing and operation on its own, Party A shall provide assistance and cooperation;</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the premise of legality and compliance, Party A shall ensure that Party B can normally use the leased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 Party B’s Rights</w:t>
      </w:r>
    </w:p>
    <w:p>
      <w:pPr>
        <w:spacing w:after="0" w:line="225" w:lineRule="exact"/>
        <w:rPr>
          <w:sz w:val="20"/>
          <w:szCs w:val="20"/>
          <w:color w:val="auto"/>
        </w:rPr>
      </w:pPr>
    </w:p>
    <w:p>
      <w:pPr>
        <w:ind w:firstLine="8"/>
        <w:spacing w:after="0" w:line="286" w:lineRule="auto"/>
        <w:tabs>
          <w:tab w:leader="none" w:pos="2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if Party A transfers the leased premises, Party B has the right to continue leasing it. Party A shall stipulate in the transfer contract with the transferee that Party B has the right to continue performing this contract;</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8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provided Party B complies with and performs the obligations under this contract, Party A and Party C shall not interfere with Party B’s daily business operations and activities;</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5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the right to jointly and equally use the common areas, common equipment, and common facilities of the Project with other entitled persons according to its normal business needs.</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5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has the right to require Party C to provide operational management services in accordance with the agreement, and Party C shall bear full responsibility for service quality.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13.4 Party B’s Obligations</w:t>
      </w:r>
    </w:p>
    <w:p>
      <w:pPr>
        <w:spacing w:after="0" w:line="225" w:lineRule="exact"/>
        <w:rPr>
          <w:sz w:val="20"/>
          <w:szCs w:val="20"/>
          <w:color w:val="auto"/>
        </w:rPr>
      </w:pPr>
    </w:p>
    <w:p>
      <w:pPr>
        <w:ind w:right="20" w:firstLine="8"/>
        <w:spacing w:after="0" w:line="286" w:lineRule="auto"/>
        <w:tabs>
          <w:tab w:leader="none" w:pos="26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pay rent and the lease deposit in accordance with the relevant provisions of this contract. Any service disputes between Party B and Party C shall not be used as a reason to refuse or delay payment of rent or the lease deposit;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ind w:left="260" w:hanging="252"/>
        <w:spacing w:after="0"/>
        <w:tabs>
          <w:tab w:leader="none" w:pos="2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pay the comprehensive service fee and other payable expenses in accordance with the relevant provisions of this contract;</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handle on its own all licenses required for leasing and operation;</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9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Party B shall comply with laws, regulations, and the rules of government departments regarding housing lease management. If Party B receives any notice or court summons related to the leased premises, Party B must notify Party A and Party C in writing within 2 calendar days (48 hours);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7"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Party B may not occupy, damage, or alter the use of the Project’s common areas, common equipment, or common facilities. Unless otherwise agreed by the parties, Party B may not claim any benefit from areas outside the leased premises (including but not limited to fire exits, public spaces, refuge floors, etc.);</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7"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period, if Party A and/or Party C incur additional expenses (such as taxes) due to accommodating Party B’s needs (such as changing the leasing entity, subleasing, partial subleasing, etc.), Party B shall bear such additional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13.5 Party C’s Rights</w:t>
      </w:r>
    </w:p>
    <w:p>
      <w:pPr>
        <w:spacing w:after="0" w:line="225" w:lineRule="exact"/>
        <w:rPr>
          <w:sz w:val="20"/>
          <w:szCs w:val="20"/>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collect comprehensive service fees and other expenses from Party B as stipulated in this contract;</w:t>
      </w:r>
    </w:p>
    <w:p>
      <w:pPr>
        <w:spacing w:after="0" w:line="225"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8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conduct daily management and supervision over Party B’s use of the leased premises in accordance with Party A’s authorization and property management rules;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assist Party A in handling communications during the lease term; if Party B breaches the contract, Party C has the right to urge Party B to pay due amounts on time and require rectification, etc.;</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suspend part or all services when Party B is in arrears on lease expenses or other fees. If Party B is in arrears on rent and Party C has advanced corresponding amounts to Party A on Party B’s behalf (including rent and liquidated damages), Party C has the right to recover such amounts from Party 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13.6 Party C’s Obligations</w:t>
      </w:r>
    </w:p>
    <w:p>
      <w:pPr>
        <w:spacing w:after="0" w:line="225" w:lineRule="exact"/>
        <w:rPr>
          <w:sz w:val="20"/>
          <w:szCs w:val="20"/>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deliver the leased premises to Party B in accordance with the contract;</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6"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be responsible for Party B’s daily management and supervision, including maintenance and upkeep of the indoor facilities and equipment of the leased premises;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87"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regularly inspect the leased premises, promptly discover and handle potential issues, and ensure normal use of the leased premises;</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provide customized services according to Party B’s needs, such as meeting services and business support;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ind w:firstLine="8"/>
        <w:spacing w:after="0" w:line="286" w:lineRule="auto"/>
        <w:tabs>
          <w:tab w:leader="none" w:pos="26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be responsible for Party B’s customer service. Party C shall provide efficient and high-quality services, properly handle service complaints raised by Party B, and provide excellent service;</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shall promptly report Party B’s use of the leased premises to Party A;</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Upon expiry of the lease term or termination of this contract, Party C shall handle the return of the leased premises with 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Contract Amendment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14.1 If the change involves only the rights and obligations of Party A and Party B, the contract terms may be changed upon agreement between Party A and Party B. If the change directly affects Party C’s rights and obligations, the contract may be amended only upon agreement among Party A, Party B, and Party C.</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14.2 During the performance of this contract, if Party C withdraws from the operational services stipulated in this contract, Party A has the right to undertake the management services that Party C should provide itself or entrust a third party to undertake them, without Party C’s consent. Such change of entity shall not affect the lease rights and obligations between Party A and Party B, and Party A and Party B shall continue to perform in accordance with this contract.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14.3 If agreement is reached on amendments to this contract, a supplemental agreement may be signed separately, and such supplemental agreement shall have the same legal effect as this contract.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Contract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This contract may be terminated upon agreement of Party A, Party B, and Party 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15.2 If Party B has any of the following circumstances, Party A has the right to unilaterally terminate this contract. After termination, Party C has the right to take back the leased premises:</w:t>
      </w:r>
    </w:p>
    <w:p>
      <w:pPr>
        <w:spacing w:after="0" w:line="155" w:lineRule="exact"/>
        <w:rPr>
          <w:sz w:val="20"/>
          <w:szCs w:val="20"/>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Failure to pay lease expenses, or failure to pay lease expenses in accordance with this contract, for 30 calendar days;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Failure to pay the lease deposit, or failure to pay it in accordance with this contract, for 30 calendar days;</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5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the leased premises meet the agreed delivery standard, but Party B still fails to accept the leased premises within 30 calendar days after the delivery date specified in this contract, or Party B has accepted the leased premises but refuses to sign the “Leased Premises Delivery Confirmation Form” without justifiable reason for 30 calendar days;</w:t>
      </w:r>
    </w:p>
    <w:p>
      <w:pPr>
        <w:spacing w:after="0" w:line="170" w:lineRule="exact"/>
        <w:rPr>
          <w:rFonts w:ascii="Times New Roman" w:cs="Times New Roman" w:eastAsia="Times New Roman" w:hAnsi="Times New Roman"/>
          <w:sz w:val="18"/>
          <w:szCs w:val="18"/>
          <w:b w:val="1"/>
          <w:bCs w:val="1"/>
          <w:color w:val="auto"/>
        </w:rPr>
      </w:pPr>
    </w:p>
    <w:p>
      <w:pPr>
        <w:jc w:val="both"/>
        <w:ind w:right="20" w:firstLine="8"/>
        <w:spacing w:after="0" w:line="268" w:lineRule="auto"/>
        <w:tabs>
          <w:tab w:leader="none" w:pos="27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dismantling, alteration, or damage to the structure of the leased premises, electromechanical systems, fire protection systems, curtain walls (glass, stone, metal, etc.) and their hardware or exterior windows, or other important systems, facilities, and equipment affecting the functional use of the leased premises;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both"/>
        <w:ind w:firstLine="8"/>
        <w:spacing w:after="0" w:line="262" w:lineRule="auto"/>
        <w:tabs>
          <w:tab w:leader="none" w:pos="25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subleasing, partial subleasing, or otherwise permitting a third party to use the leased premises in whole or in part, including but not limited to under the names of lending, sharing, joint operation, contracting, cooperation, partnership, commission, or franchise management by a third party, regardless of whether such third party pays any rent or other consideration for such subleasing or partial subleasing, all of which shall be deemed Party B’s breach;</w:t>
      </w:r>
    </w:p>
    <w:p>
      <w:pPr>
        <w:spacing w:after="0" w:line="176"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change of the use of the leased premises;</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5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the leased premises for illegal or non-compliant activities, or use of the leased premises to infringe the lawful rights and interests of third parties, or because of Party B’s reasons the leased premises are sealed up by public security or judicial authorities or a notice is issued requiring cessation of Party B’s operations;</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9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undergoes merger, division, reorganization, acquisition, or similar circumstances causing this contract to become impossible to continue, or Party B enters liquidation, bankruptcy, deregistration, dissolution, or has its business license revoked;</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commits a criminal offense. For the avoidance of doubt, criminal offense circumstances include, but are not limited to, Party B being filed for investigation by public security authorities or becoming a defendant in a criminal case;</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35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violates this contract and fails to rectify within 7 working days after Party A and/or Party C issues a written rectification notice, or Party A and/or Party C has issued written rectification notices for the same matter three times;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35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due to Party B’s reasons, petitioners or groups hold banner-hanging, complaints, or similar collective incidents at the Project (including surrounding areas), disrupting the Project’s business order and causing adverse effects to Party A, Party C, other tenants, and the Project;</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35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installation of signs, signboards, or similar items on the exterior walls, roof, or other common areas of the Project, and failure to remove and restore them within 3 calendar days after written notice by Party A and/or Party C.</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When Party A exercises the above unilateral termination right, it does not need to obtain any form of consent, approval, or confirmation from Party C. Any opinion, objection, or non-cooperation by Party C shall not affect the existence or effectiveness of the above termination right. Party C shall unconditionally cooperate with Party A in exercising the above rights, including but not limited to return of the premises and settlement of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15.3 Under any of the following circumstances, Party B has the right to unilaterally terminate the contract:</w:t>
      </w:r>
    </w:p>
    <w:p>
      <w:pPr>
        <w:spacing w:after="0" w:line="225" w:lineRule="exact"/>
        <w:rPr>
          <w:sz w:val="20"/>
          <w:szCs w:val="20"/>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to Party C’s reasons, the delivery of the leased premises is delayed by 30 calendar days;</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to Party C’s reasons, the leased premises delivered do not comply with this contract, preventing Party B from achieving the lease purpose, and Party C fails to make rectifications within a reasonable period and the premises still do not comply with this contract;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ind w:firstLine="8"/>
        <w:spacing w:after="0" w:line="286" w:lineRule="auto"/>
        <w:tabs>
          <w:tab w:leader="none" w:pos="273"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C fails to undertake repair responsibilities or pay repair costs as stipulated in this contract, and still fails to perform after Party B’s written reminder, causing Party B to be unable to continue normal use of the leased premises or business operations;</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becomes bankrupt or enters liquidation proceedings for reasons other than reorganization or merger.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For the circumstances set out in items (1), (2), and (3) of this clause, the liable party for breach shall be Party C; for the circumstance in item (4), the liable party for breach shall be Party A. The scope of each party’s liability is limited to the corresponding circumstance specified in this clause.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15.4 Under any of the following circumstances, any of Party A, Party B, or Party C has the right to terminate this contract, and none of the three parties shall bear liability to the others:</w:t>
      </w:r>
    </w:p>
    <w:p>
      <w:pPr>
        <w:spacing w:after="0" w:line="155" w:lineRule="exact"/>
        <w:rPr>
          <w:sz w:val="20"/>
          <w:szCs w:val="20"/>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leased premises are lawfully expropriated, requisitioned, or demolished due to public interest or urban construction needs;</w:t>
      </w:r>
    </w:p>
    <w:p>
      <w:pPr>
        <w:spacing w:after="0" w:line="225"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6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leased premises are damaged, lost, or identified as a dangerous building due to force majeure and cannot be used, or this contract can no longer be performed due to a force majeure event.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15.5 If any of the above circumstances for termination exist, Party A, Party B, and Party C may sign a termination agreement, or the party with the right to terminate, Party A or Party B, may deliver a termination notice to the other parties in accordance with clause 19 of this contract, and this contract shall then be terminated.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15.6 During the lease term, except for the circumstances of termination stipulated in this contract, none of Party A, Party B, or Party C may unilaterally terminate this contract without cause.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Liability for Breach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 Liability for Breach by Party A and Party C</w:t>
      </w:r>
    </w:p>
    <w:p>
      <w:pPr>
        <w:spacing w:after="0" w:line="225" w:lineRule="exact"/>
        <w:rPr>
          <w:sz w:val="20"/>
          <w:szCs w:val="20"/>
          <w:color w:val="auto"/>
        </w:rPr>
      </w:pPr>
    </w:p>
    <w:p>
      <w:pPr>
        <w:jc w:val="both"/>
        <w:ind w:firstLine="8"/>
        <w:spacing w:after="0" w:line="259" w:lineRule="auto"/>
        <w:tabs>
          <w:tab w:leader="none" w:pos="27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delivery of the leased premises is delayed due to Party C’s reasons, for every accumulated 3 days of delay, Party C shall pay Party B liquidated damages equal to 0.05% of the total lease expense for the first full month. Any period less than 3 days shall not be counted. Such liquidated damages shall be calculated until the date delivery is completed. If the delay reaches 30 calendar days, Party B has the right to unilaterally terminate this contract and shall bear no liability. If the delay reaches 30 calendar days but Party B does not terminate this contract, Party C shall continue to pay liquidated damages to Party B until the leased premises are delivered.</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circumstances specified in clause 15.3 of this contract exist and Party B terminates this contract, Party A shall refund the lease deposit to Party B, and the liable party shall pay Party B liquidated damages equal to 2 times the rent for the first full month.</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if Party A unilaterally terminates this contract without the circumstances specified in clauses 15.1, 15.2, and 15.4, Party A shall refund the lease deposit to Party B in double.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16.2 Liability for Breach by Party B</w:t>
      </w:r>
    </w:p>
    <w:p>
      <w:pPr>
        <w:spacing w:after="0" w:line="225" w:lineRule="exact"/>
        <w:rPr>
          <w:sz w:val="20"/>
          <w:szCs w:val="20"/>
          <w:color w:val="auto"/>
        </w:rPr>
      </w:pPr>
    </w:p>
    <w:p>
      <w:pPr>
        <w:jc w:val="both"/>
        <w:ind w:firstLine="8"/>
        <w:spacing w:after="0" w:line="259" w:lineRule="auto"/>
        <w:tabs>
          <w:tab w:leader="none" w:pos="25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delays payment or completion of lease expenses, lease deposit, or other payable fees, Party B shall pay liquidated damages at 0.05% of the total amount overdue at the time the default occurs for each day of delay. Such liquidated damages shall be calculated until all payable lease expenses, lease deposit, or other fees are fully paid. If the delay reaches 30 calendar days, Party A has the right to unilaterally terminate the contract and shall bear no liability. If the delay reaches 30 calendar days but Party A does not terminate the contract, Party B shall continue to pay liquidated damages daily at 0.05% of the overdue total until all amounts are fully paid.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Starting from the 15th calendar day of Party B’s overdue payment of lease expenses (including the 15th day), Party A and/or Party C has the right, itself or through Gaoke Property, to suspend water, electricity, central air-conditioning supply, and other management services for the leased premises until Party B pays all outstanding amounts. During the suspension period, Party B’s payable lease expenses, other expenses, and corresponding liquidated damages shall not be waived. If the suspension of water, electricity, central air-conditioning supply, and other management services is caused by Party B’s arrears, Party A, Party C, or Gaoke Property shall bear no responsibility, and Party B shall bear all responsibilities and losses.</w:t>
      </w:r>
    </w:p>
    <w:p>
      <w:pPr>
        <w:spacing w:after="0" w:line="182" w:lineRule="exact"/>
        <w:rPr>
          <w:sz w:val="20"/>
          <w:szCs w:val="20"/>
          <w:color w:val="auto"/>
        </w:rPr>
      </w:pPr>
    </w:p>
    <w:p>
      <w:pPr>
        <w:ind w:left="260" w:hanging="252"/>
        <w:spacing w:after="0"/>
        <w:tabs>
          <w:tab w:leader="none" w:pos="2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circumstances specified in clause 15.2 exist and Party A terminates this contract, Party A shall not refund Party B’s lease deposit.</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59"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During the lease term, if Party B unilaterally terminates this contract without the circumstances specified in clauses 15.1, 15.3, and 15.4, Party A shall not refund Party B’s lease deposit.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263"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Upon expiry of the lease term or termination of this contract, Party B shall vacate and return the leased premises on time in accordance with this contract. If Party B delays vacating or refuses to return the premises, Party B shall pay Party A a possession fee equal to 2 times the daily rent amount at the time of expiry or termination for each day of delay, until the premises are vacated and returned. In addition, during the period of delayed vacating or refusal to return, Party B shall still pay the comprehensive service fee and other payable expenses in accordance with the standards and methods stipulated in this contract.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If Party B delays vacating or refuses to return the leased premises, Party A and/or Party C has the right, itself or through Gaoke Property, to stop water, electricity, central air-conditioning supply, or other management services for the leased premises. During the suspension period, Party B’s payable possession fee, comprehensive service fee, other expenses, and corresponding overdue liquidated damages shall not be waived. If suspension of water, electricity, central air-conditioning supply, and other management services is caused by Party B’s delayed vacating or refusal to return the leased premises, Party A, Party C, or Gaoke Property shall bear no responsibility, and Party B shall bear all responsibilities and losses.</w:t>
      </w:r>
    </w:p>
    <w:p>
      <w:pPr>
        <w:spacing w:after="0" w:line="182" w:lineRule="exact"/>
        <w:rPr>
          <w:sz w:val="20"/>
          <w:szCs w:val="20"/>
          <w:color w:val="auto"/>
        </w:rPr>
      </w:pPr>
    </w:p>
    <w:p>
      <w:pPr>
        <w:jc w:val="both"/>
        <w:ind w:firstLine="8"/>
        <w:spacing w:after="0" w:line="262" w:lineRule="auto"/>
        <w:tabs>
          <w:tab w:leader="none" w:pos="26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delays handling the industrial and commercial cancellation or change procedures for the leased premises or other premises in the Project used as a business registration address or business premises address, or delays completing the change or cancellation procedures for the lease filing of the leased premises (if any), Party B shall pay Party A liquidated damages at the daily rent rate at the time the lease expires or this contract is terminated for each day of delay, until the relevant procedures are completed.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ind w:firstLine="8"/>
        <w:spacing w:after="0" w:line="286" w:lineRule="auto"/>
        <w:tabs>
          <w:tab w:leader="none" w:pos="2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unlawfully transforms, decorates, or installs facilities/equipment affecting the structure of the leased premises, thereby causing personal injury or property loss to Party A or any third party, Party B shall bear all legal liability and compensate for all losses.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16.3 Party B shall impose necessary restrictions on the conduct of its employees, visitors, users, and other related parties, and urge them not to engage in conduct harmful to the Project or prohibited for Party B under this contract. If the conduct of the above persons in the leased premises causes losses to Party A and/or Party C, Party A and/or Party C has the right to recover such losses from Party B.</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16.4 If the liquidated damages stipulated in this contract are insufficient to compensate all losses that the non-breaching party may suffer due to the breaching party’s breach, the breaching party shall also be liable to compensate the difference in full between the liquidated damages and the losses. The foregoing losses include, but are not limited to, all expenses such as debts, taxes, compensation for damages, and all litigation costs, court enforcement costs, attorneys’ fees, travel expenses, property preservation fees, security deposits paid to realize property preservation, appraisal fees, evaluation fees, auction fees, notarization fees, service fees, announcement fees, and other costs incurred by the non-breaching party in pursuing claims against the breaching party.</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16.5 If there are decoration defects in the leased premises, Party C shall, in principle, begin rectification within 2 days after receiving Party B’s notice.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16.6 If Party B breaches the contract in any way, Party C has the right to urge Party B to rectify the breach and demand payment of liquidated damages.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16.7 If Party B is overdue in paying rent, lease deposit, or any amounts payable to Party A, this also constitutes a breach of Party C, and Party C has the right to suspend services accordingly.</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16.8 For breaches by Party A or Party C under this contract, Party A and Party C shall not bear joint or supplementary liability to each other. Party B shall not, based on any breach circumstance stipulated in this contract, require the non-breaching Party A or Party C to bear the breach liability that should be borne by the other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Force Majeure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17.1 “Force majeure” means objective circumstances that the three parties to this contract cannot foresee, avoid, or overcome. Force majeure includes natural phenomena (such as typhoons, floods, earthquakes, etc.), government actions (such as expropriation, requisition, etc.), and social abnormal events (such as strikes, riots, etc.) that have reached the point of obstructing, affecting, or delaying the performance of all or part of this contract by any party.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17.2 The party suffering a force majeure event shall immediately notify the other two parties of the nature of the event, date of occurrence, expected duration, and other relevant details, as well as the extent to which the event affects its performance of obligations under this contract. At the same time, the affected party shall provide a lawful certificate issued by the relevant government department proving the force majeure event; if such certificate cannot be provided, the party must strictly perform all obligations in accordance with this contract, otherwise it shall bear liability for breach.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17.3 If a force majeure event makes it impossible to continue performing this contract, Party A, Party B, and Party C may agree to terminate it. If the force majeure event only temporarily hinders performance, the affected party may temporarily suspend performance of its obligations under this contract until the effect of the force majeure event is removed, and shall not bear liability for breach on that basis, but shall endeavor to take remedial measures to reduce the impact. During the temporary suspension, the affected party shall regularly inform the other two parties of the development of the force majeure event. When the force majeure event ends, it shall immediately notify the other two parties in writing.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Special Provisions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18.1 Confidentiality. The contents of this contract and the rent, rent-free period, and other commercial information negotiated by Party A, Party B, and Party C are confidential information. Party A, Party B, and Party C each undertake to use the confidential information only for reasonable purposes under this contract. Unless required in writing by competent authorities such as government departments, judicial organs, or regulatory institutions, or agreed unanimously by the three parties, no party shall disclose confidential information to any party other than Party A, Party B, and Party C.</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above confidentiality obligation shall not be released due to the invalidity, revocation, completion, or early suspension of this contract. Party B agrees that Party A and/or Party C using confidential information to analyze the Project’s operations or providing confidential information to professional advisers, or Party A and/or Party C disclosing Party B’s lease of the leased premises for the needs of promotion or publicity of the Project, shall not be deemed a breach of the confidentiality obligations by Party A and/or Party C.</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18.2 “Space Science and Technology Plaza Property Lease Safety Production Management Agreement.” Party A and Party B sign the “Space Science and Technology Plaza Property Lease Safety Production Management Agreement” (hereinafter the “Safety Production Management Agreement,” see Appendix 6), and fully perform the safety management responsibilities and obligations stipulated therein. If any party violates the relevant provisions of the Safety Production Management Agreement and causes a safety responsibility accident or personal injury/property loss to others during the housing lease under this contract, the responsible party shall bear all legal liability and economic losses.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18.3 Any consent given by Party A and/or Party C to Party B only constitutes consent to the matter applied for by Party B, and does not constitute a waiver of enforcement of any provision of this contract, nor shall it be understood as Party A and/or Party C waiving the requirement to obtain such consent for similar events in the future special consent requirement, unless Party A and/or Party C expressly states otherwise in writing.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18.4 Party A and/or Party C’s failure, once or more than once, to pursue Party B for a breach or non-performance of its obligations under this contract shall not constitute a waiver by Party A and/or Party C of the right to pursue Party B for any future continuing breach or non-performance, nor shall it in any way reduce or affect Party A and/or Party C’s right to pursue Party B for future continuing breach or non-performance, unless Party A and/or Party C expressly state otherwise in writing.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18.5 Party B agrees that the liquidated damages paid to Party B by Party A and/or Party C under this contract already include losses from decoration, business losses, and the cost and losses of finding alternative premises caused by the breach of Party A and/or Party C. Party B may not separately claim such losses from Party A and/or Party 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Notice and Service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19.1 Party A, Party B, and Party C agree that notices may be sent by mail, email, WeChat, SMS, and other means. The parties confirm the following valid service addresses: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service address: Room 15B01, Block B, Space Science and Technology Plaza, 1288 Haide 3rd Road, Nanshan District, Shenzhen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Postal code: 518054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 Wang Xinyi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13983316832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htgkzcjyb@163.com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service address: Block B, CIMC R&amp;D Center, No. 2 Gangwan Avenue, Nanshan District, Shenzhen, Guangdong Province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Postal code: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 Zhou Minghui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13823613728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address: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Party C service address: Room 3402, Building 1, No. 1, Phase II, Dachong Business Center, 9680 Shennan Avenue, Dachong Community, Yuehai Subdistrict, Nanshan District, Shenzhen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Postal code: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 Yuan Tao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13538222192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any party’s above address changes, it shall immediately notify the other parties in writing; otherwise, the above address shall remain valid.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19.2 If notices or documents from one party to the other two parties are sent by mail, the date of receipt/signature by the recipient shall be deemed the date of service; if the mailed documents are returned when sent to the above address, the return date shall be deemed the date of service; if sent by email, WeChat, or SMS, the date of sending shall be deemed the date of service.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19.3 If service cannot be effected by the above methods, before Party B vacates, any notice sent by Party A and/or Party C to the location of the leased premises shall be deemed valid service.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Dispute Resolution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20.1 If a dispute arises during performance of this contract, Party A, Party B, and Party C shall resolve it through consultation. If consultation fails, a lawsuit may be filed in the People’s Court of Nanshan District, Shenzhen, where the leased premises are located, in accordance with law. The losing party shall bear the reasonable expenses incurred by the prevailing party in resolving the dispute, including but not limited to litigation fees, attorneys’ fees, appraisal fees, evaluation fees, travel expenses, property preservation fees, and security fees for preservation.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20.2 The formation, validity, interpretation, performance, and dispute resolution of this contract shall all be governed by the laws of the People’s Republic of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Other Provisions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21.1 If Party B needs to handle lease contract filing procedures, Party B shall sign the “Shenzhen Housing Lease Contract” supervised by the Shenzhen Housing and Construction Bureau with Party A. Party A and Party B agree that such housing lease contract is only for Party B’s filing purposes and is not binding on Party A and Party B; the rights and obligations of Party A and Party B shall still be governed by this contract and any supplemental agreement to this contract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The appendices to this contract form an effective part of this contract and have the same legal effect as this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This contract is made in six copies, with Party A, Party B, and Party C each holding two copies, each of which has equal legal effect.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21.4 This contract shall become effective from the date it is signed by the legal representatives or authorized representatives of the three parties and sealed with their company chops.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text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color w:val="auto"/>
        </w:rPr>
        <w:t>Party A (seal): Shenzhen Space Science High-Tech Investment Management Co.,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or authorized representative (signature/seal):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Shenzhen Space Science High-Tech Investment Management Co.,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signing: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or authorized representative (signature/seal):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Zhou Minghui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signing: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(seal): Wuyou Planning and Operation Management (Shenzhen)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or authorized representative (signature/seal):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Wuyou Planning and Operation Management (Shenzhen) Co.,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signing:</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Appendix 1: Supplemental Agreement Among Party A, Party B, and 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Appendix 2: Floor Plan of the 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156845</wp:posOffset>
            </wp:positionV>
            <wp:extent cx="2717165" cy="5503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2717165" cy="550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Appendix 3: Real Property Ownership Certificate for the 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156845</wp:posOffset>
            </wp:positionV>
            <wp:extent cx="4937760" cy="34118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493776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Yue (2018) Shenzhen Real Property Ownership No. 0257771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holder: Shenzhen Space Science High-Tech Investment Management Co., Ltd. (914403008718947382)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status: Sole ownership</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Location: Room 5401, Block A, Space Science and Technology Plaza, south side of Qianhai Avenue, Qianhai Shenzhen-Hong Kong Cooperation Zone, Nanshan District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unit no.: 440305005007GB00008F00010143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right: State-owned construction land use right / house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right: Grant / commercial housing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Commercial office land / office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Area: Gross floor area: 753.38 square meters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use: 50 years, from March 14, 2008 to March 13, 2058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 status:</w:t>
      </w:r>
    </w:p>
    <w:p>
      <w:pPr>
        <w:spacing w:after="0" w:line="225"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Parcel no.: T107-0005, parcel area: 12,018.67 square meters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Interior building area: 496.5 square meters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date: September 9, 2016</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price</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Co-ownership status: None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Remarks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Market commercial housing, saleable. The sale target is limited to wholly owned, controlled, or equity-invested enterprises within China Aerospace Science and Technology 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Other rights matters concerning this property shall be subject to the records in the real property register.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4: Leased Premises Delivery Confirmation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Leased Premises Delivery Confirmation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36131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6130" cy="361315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198" w:lineRule="exact"/>
        <w:rPr>
          <w:sz w:val="20"/>
          <w:szCs w:val="20"/>
          <w:color w:val="auto"/>
        </w:rPr>
      </w:pPr>
    </w:p>
    <w:p>
      <w:pPr>
        <w:ind w:left="180" w:right="160"/>
        <w:spacing w:after="0" w:line="317" w:lineRule="auto"/>
        <w:rPr>
          <w:sz w:val="20"/>
          <w:szCs w:val="20"/>
          <w:color w:val="auto"/>
        </w:rPr>
      </w:pPr>
      <w:r>
        <w:rPr>
          <w:rFonts w:ascii="Times New Roman" w:cs="Times New Roman" w:eastAsia="Times New Roman" w:hAnsi="Times New Roman"/>
          <w:sz w:val="17"/>
          <w:szCs w:val="17"/>
          <w:b w:val="1"/>
          <w:bCs w:val="1"/>
          <w:color w:val="auto"/>
        </w:rPr>
        <w:t>Rental Property, Room Number</w:t>
      </w:r>
    </w:p>
    <w:p>
      <w:pPr>
        <w:spacing w:after="0" w:line="3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Delivery method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w:t>
      </w:r>
    </w:p>
    <w:p>
      <w:pPr>
        <w:spacing w:after="0" w:line="198" w:lineRule="exact"/>
        <w:rPr>
          <w:sz w:val="20"/>
          <w:szCs w:val="20"/>
          <w:color w:val="auto"/>
        </w:rPr>
      </w:pPr>
    </w:p>
    <w:p>
      <w:pPr>
        <w:jc w:val="both"/>
        <w:ind w:left="180" w:right="120"/>
        <w:spacing w:after="0" w:line="268" w:lineRule="auto"/>
        <w:rPr>
          <w:sz w:val="20"/>
          <w:szCs w:val="20"/>
          <w:color w:val="auto"/>
        </w:rPr>
      </w:pPr>
      <w:r>
        <w:rPr>
          <w:rFonts w:ascii="Times New Roman" w:cs="Times New Roman" w:eastAsia="Times New Roman" w:hAnsi="Times New Roman"/>
          <w:sz w:val="18"/>
          <w:szCs w:val="18"/>
          <w:b w:val="1"/>
          <w:bCs w:val="1"/>
          <w:color w:val="auto"/>
        </w:rPr>
        <w:t>Number of water meters in leased properties</w:t>
      </w:r>
    </w:p>
    <w:p>
      <w:pPr>
        <w:spacing w:after="0" w:line="144" w:lineRule="exact"/>
        <w:rPr>
          <w:sz w:val="20"/>
          <w:szCs w:val="20"/>
          <w:color w:val="auto"/>
        </w:rPr>
      </w:pPr>
    </w:p>
    <w:p>
      <w:pPr>
        <w:ind w:left="180"/>
        <w:spacing w:after="0" w:line="268" w:lineRule="auto"/>
        <w:rPr>
          <w:sz w:val="20"/>
          <w:szCs w:val="20"/>
          <w:color w:val="auto"/>
        </w:rPr>
      </w:pPr>
      <w:r>
        <w:rPr>
          <w:rFonts w:ascii="Times New Roman" w:cs="Times New Roman" w:eastAsia="Times New Roman" w:hAnsi="Times New Roman"/>
          <w:sz w:val="18"/>
          <w:szCs w:val="18"/>
          <w:b w:val="1"/>
          <w:bCs w:val="1"/>
          <w:color w:val="auto"/>
        </w:rPr>
        <w:t>Electricity meter readings for leased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lessee confirms that the operator will deliver the leased property to them in _____________ (unfinished/as 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 as detailed in the attached photos.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to the rented property: [Number] keys.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993" w:lineRule="exact"/>
        <w:rPr>
          <w:sz w:val="20"/>
          <w:szCs w:val="20"/>
          <w:color w:val="auto"/>
        </w:rPr>
      </w:pPr>
    </w:p>
    <w:p>
      <w:pPr>
        <w:sectPr>
          <w:pgSz w:w="11900" w:h="16838" w:orient="portrait"/>
          <w:cols w:equalWidth="0" w:num="2">
            <w:col w:w="1620" w:space="600"/>
            <w:col w:w="9000"/>
          </w:cols>
          <w:pgMar w:left="320" w:top="900" w:right="359" w:bottom="1440" w:gutter="0" w:footer="0" w:header="0"/>
          <w:type w:val="continuous"/>
        </w:sectPr>
      </w:pPr>
    </w:p>
    <w:p>
      <w:pPr>
        <w:ind w:left="180" w:right="160"/>
        <w:spacing w:after="0" w:line="286" w:lineRule="auto"/>
        <w:rPr>
          <w:sz w:val="20"/>
          <w:szCs w:val="20"/>
          <w:color w:val="auto"/>
        </w:rPr>
      </w:pPr>
      <w:r>
        <w:rPr>
          <w:rFonts w:ascii="Times New Roman" w:cs="Times New Roman" w:eastAsia="Times New Roman" w:hAnsi="Times New Roman"/>
          <w:sz w:val="18"/>
          <w:szCs w:val="18"/>
          <w:b w:val="1"/>
          <w:bCs w:val="1"/>
          <w:color w:val="auto"/>
        </w:rPr>
        <w:t>Party B hereby confirms that the leased premises have passed its acceptance inspection and meet the delivery conditions stipulated in the lease contract, and that the operating and management party completed the delivery procedures for the leased premises on year month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130" cy="424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6130" cy="424180"/>
                    </a:xfrm>
                    <a:prstGeom prst="rect">
                      <a:avLst/>
                    </a:prstGeom>
                    <a:noFill/>
                  </pic:spPr>
                </pic:pic>
              </a:graphicData>
            </a:graphic>
          </wp:anchor>
        </w:drawing>
      </w:r>
    </w:p>
    <w:p>
      <w:pPr>
        <w:spacing w:after="0" w:line="36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 of Operations</w:t>
            </w:r>
          </w:p>
        </w:tc>
        <w:tc>
          <w:tcPr>
            <w:tcW w:w="3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Representative:</w:t>
            </w:r>
          </w:p>
        </w:tc>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8"/>
              </w:rPr>
              <w:t>Lessee (Representative) Signature:</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delivery confirmation form is made in two copies, with one copy held by the operating and management party and one by the lessee.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Attached photos: Photos of the leased premises at the time of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Attached table: Delivery checklist for the leased premises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44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0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331"/>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Delivery details of leased property</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situation</w:t>
            </w: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Remark</w:t>
            </w: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doorplate</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 locks and handles</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Lighting fixtures</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Lighting switch</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fire hydrant box</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Fire extinguishers and fire extinguishing boxes</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Public distribution box</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Unit distribution box</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lamp plate</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spray head</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Smoke Detector</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Emergency indicator light</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652"/>
        </w:trPr>
        <w:tc>
          <w:tcPr>
            <w:tcW w:w="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Appendix 5: Leased Premises Return Confirmation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Leased Premises Return Confirmation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3209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6130" cy="320992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Operations Management</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Rental Property, Room Number</w:t>
      </w: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Delivery method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lessee confirms that the operator will deliver the leased property to them 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 (unfinished/as is) condition, as detailed in the attached photos.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to the rented property: [Number] keys.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9" w:lineRule="exact"/>
        <w:rPr>
          <w:sz w:val="20"/>
          <w:szCs w:val="20"/>
          <w:color w:val="auto"/>
        </w:rPr>
      </w:pPr>
    </w:p>
    <w:p>
      <w:pPr>
        <w:sectPr>
          <w:pgSz w:w="11900" w:h="16838" w:orient="portrait"/>
          <w:cols w:equalWidth="0" w:num="2">
            <w:col w:w="3040" w:space="720"/>
            <w:col w:w="7480"/>
          </w:cols>
          <w:pgMar w:left="320" w:top="90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 of water meters in leased</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Electricity meter readings for leased</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6" w:lineRule="exact"/>
        <w:rPr>
          <w:sz w:val="20"/>
          <w:szCs w:val="20"/>
          <w:color w:val="auto"/>
        </w:rPr>
      </w:pPr>
    </w:p>
    <w:p>
      <w:pPr>
        <w:ind w:left="180" w:right="180"/>
        <w:spacing w:after="0" w:line="286" w:lineRule="auto"/>
        <w:rPr>
          <w:sz w:val="20"/>
          <w:szCs w:val="20"/>
          <w:color w:val="auto"/>
        </w:rPr>
      </w:pPr>
      <w:r>
        <w:rPr>
          <w:rFonts w:ascii="Times New Roman" w:cs="Times New Roman" w:eastAsia="Times New Roman" w:hAnsi="Times New Roman"/>
          <w:sz w:val="18"/>
          <w:szCs w:val="18"/>
          <w:b w:val="1"/>
          <w:bCs w:val="1"/>
          <w:color w:val="auto"/>
        </w:rPr>
        <w:t>Party B hereby confirms that the leased premises have passed its acceptance inspection and meet the delivery conditions stipulated in the lease contract, and that the operating and management party completed the delivery procedures for the leased premises on year month day.</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66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331"/>
        </w:trPr>
        <w:tc>
          <w:tcPr>
            <w:tcW w:w="60" w:type="dxa"/>
            <w:vAlign w:val="bottom"/>
            <w:tcBorders>
              <w:left w:val="single" w:sz="8" w:color="auto"/>
              <w:right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Signature of Operations Management Representative:</w:t>
            </w:r>
          </w:p>
        </w:tc>
        <w:tc>
          <w:tcPr>
            <w:tcW w:w="4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Lessee (Representative) Signature:</w:t>
            </w: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return confirmation form is made in two copies, with one copy held by the operating and management party and one by the lessee.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Attached photos: Photos of the leased premises at the time of return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Attached table: Return checklist for the leased premises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48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9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331"/>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Delivery details of leased property</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situation</w:t>
            </w: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Remark</w:t>
            </w: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doorplate</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Door locks and handles</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Lighting fixtures</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Lighting switch</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fire hydrant box</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Fire extinguishers and fire extinguishing boxes</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Public distribution box</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Unit distribution box</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lamp plate</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spray head</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Smoke Detector</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Emergency indicator light</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piece</w:t>
            </w: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66"/>
        </w:trPr>
        <w:tc>
          <w:tcPr>
            <w:tcW w:w="60" w:type="dxa"/>
            <w:vAlign w:val="bottom"/>
            <w:tcBorders>
              <w:left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652"/>
        </w:trPr>
        <w:tc>
          <w:tcPr>
            <w:tcW w:w="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Appendix 6: Space Science and Technology Plaza Property Lease Safety Production Management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Science and Technology Plaza Property Lease Safety Production Management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Shenzhen Space Science High-Tech Investment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Zhou Minghui</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Pursuant to the Work Safety Law of the People’s Republic of China, and in order to implement the work safety policy of “safety first, prevention as the main approach, and comprehensive governance,” standardize safety management of relevant parties, prevent various production safety accidents, ensure the safety of personnel and equipment/facilities, and clarify the work safety responsibilities of Party A and Party B, this agreement is signed as an appendix to the lease contract and shall bind the rights, obligations, and responsibilities to be performed by both parties, upon mutual agreement.</w:t>
      </w:r>
    </w:p>
    <w:p>
      <w:pPr>
        <w:spacing w:after="0" w:line="179" w:lineRule="exact"/>
        <w:rPr>
          <w:sz w:val="20"/>
          <w:szCs w:val="20"/>
          <w:color w:val="auto"/>
        </w:rPr>
      </w:pPr>
    </w:p>
    <w:p>
      <w:pPr>
        <w:ind w:left="660" w:hanging="328"/>
        <w:spacing w:after="0"/>
        <w:tabs>
          <w:tab w:leader="none" w:pos="66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the leased unit</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Project name: Space Science and Technology Plaza</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Project address: No. 1288 Haide 3rd Road, Haizhu Community, Yuehai Subdistrict, Nanshan District, Shenzhen</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this agreement: Same as the validity period of the lease contract between both parties</w:t>
      </w:r>
    </w:p>
    <w:p>
      <w:pPr>
        <w:spacing w:after="0" w:line="238" w:lineRule="exact"/>
        <w:rPr>
          <w:rFonts w:ascii="Times New Roman" w:cs="Times New Roman" w:eastAsia="Times New Roman" w:hAnsi="Times New Roman"/>
          <w:sz w:val="18"/>
          <w:szCs w:val="18"/>
          <w:b w:val="1"/>
          <w:bCs w:val="1"/>
          <w:color w:val="auto"/>
        </w:rPr>
      </w:pPr>
    </w:p>
    <w:p>
      <w:pPr>
        <w:ind w:left="260" w:hanging="252"/>
        <w:spacing w:after="0" w:line="219" w:lineRule="exact"/>
        <w:tabs>
          <w:tab w:leader="none" w:pos="2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safety</w:t>
      </w:r>
      <w:r>
        <w:rPr>
          <w:rFonts w:ascii="SimSun" w:cs="SimSun" w:eastAsia="SimSun" w:hAnsi="SimSun"/>
          <w:sz w:val="18"/>
          <w:szCs w:val="18"/>
          <w:color w:val="auto"/>
          <w:highlight w:val="black"/>
        </w:rPr>
        <w:t>负责人</w:t>
      </w:r>
      <w:r>
        <w:rPr>
          <w:rFonts w:ascii="Times New Roman" w:cs="Times New Roman" w:eastAsia="Times New Roman" w:hAnsi="Times New Roman"/>
          <w:sz w:val="18"/>
          <w:szCs w:val="18"/>
          <w:b w:val="1"/>
          <w:bCs w:val="1"/>
          <w:color w:val="auto"/>
        </w:rPr>
        <w:t xml:space="preserve"> name and phone: Zhou Minghui, 13823613728</w:t>
      </w:r>
    </w:p>
    <w:p>
      <w:pPr>
        <w:spacing w:after="0" w:line="22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hazardous factors during the lease term and control measures</w:t>
      </w:r>
    </w:p>
    <w:p>
      <w:pPr>
        <w:spacing w:after="0" w:line="225" w:lineRule="exact"/>
        <w:rPr>
          <w:sz w:val="20"/>
          <w:szCs w:val="20"/>
          <w:color w:val="auto"/>
        </w:rPr>
      </w:pPr>
    </w:p>
    <w:p>
      <w:pPr>
        <w:ind w:left="260" w:hanging="252"/>
        <w:spacing w:after="0"/>
        <w:tabs>
          <w:tab w:leader="none" w:pos="2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and hazardous factors involved: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involved: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Decoration/construction work, office work, and business operations within the leased area.</w:t>
      </w:r>
    </w:p>
    <w:p>
      <w:pPr>
        <w:spacing w:after="0" w:line="225"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Existing hazardous factors:</w:t>
      </w:r>
    </w:p>
    <w:p>
      <w:pPr>
        <w:spacing w:after="0" w:line="225" w:lineRule="exact"/>
        <w:rPr>
          <w:sz w:val="20"/>
          <w:szCs w:val="20"/>
          <w:color w:val="auto"/>
        </w:rPr>
      </w:pPr>
    </w:p>
    <w:p>
      <w:pPr>
        <w:ind w:right="5440"/>
        <w:spacing w:after="0" w:line="268" w:lineRule="auto"/>
        <w:rPr>
          <w:sz w:val="20"/>
          <w:szCs w:val="20"/>
          <w:color w:val="auto"/>
        </w:rPr>
      </w:pPr>
      <w:r>
        <w:rPr>
          <w:rFonts w:ascii="Times New Roman" w:cs="Times New Roman" w:eastAsia="Times New Roman" w:hAnsi="Times New Roman"/>
          <w:sz w:val="18"/>
          <w:szCs w:val="18"/>
          <w:b w:val="1"/>
          <w:bCs w:val="1"/>
          <w:color w:val="auto"/>
        </w:rPr>
        <w:t>Falls from height ■ Mechanical injury ■ Lifting injury ■ Electrical injury ■ Container explosion □ Fire ■ High temperature □ Corrosion □ Dust ■ Noise ■ Poisoning □ Suffocation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Damage to building structure and public facilities/equipment, etc.</w:t>
      </w:r>
    </w:p>
    <w:p>
      <w:pPr>
        <w:spacing w:after="0" w:line="225" w:lineRule="exact"/>
        <w:rPr>
          <w:sz w:val="20"/>
          <w:szCs w:val="20"/>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Safety control measures: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and Party B sign this safety production management agreement to clarify both parties’ safety responsibilities.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informs Party B of the safety responsibilities and obligations to be fulfilled through this agreement.</w:t>
      </w:r>
    </w:p>
    <w:p>
      <w:pPr>
        <w:spacing w:after="0" w:line="225"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entrusts and supervises Shenzhen Space Science Gaoke Property Management Co., Ltd. (“Gaoke Property”) to conduct regular safety inspections of Party B’s leased area.</w:t>
      </w:r>
    </w:p>
    <w:p>
      <w:pPr>
        <w:spacing w:after="0" w:line="155"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A’s rights and obligations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firstLine="8"/>
        <w:spacing w:after="0" w:line="286" w:lineRule="auto"/>
        <w:tabs>
          <w:tab w:leader="none" w:pos="271"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or Gaoke Property entrusted by Party A shall promptly communicate Party A’s regulations on work safety, fire safety, and related matters to Party B.</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95"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or Gaoke Property entrusted by Party A has the right to supervise and inspect Party B’s compliance with safety production regulations, stop and correct unsafe conduct by Party B, propose rectification measures for safety hazards within Party B’s leased area, and supervise implementation of rectification.</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1"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or Gaoke Property entrusted by Party A has the right to inspect Party B’s corresponding qualifications and licenses and make copies for filing.</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 or Gaoke Property entrusted by Party A shall not require Party B to carry out related work in violation of safety management rules.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rights and obligations</w:t>
      </w:r>
    </w:p>
    <w:p>
      <w:pPr>
        <w:spacing w:after="0" w:line="225" w:lineRule="exact"/>
        <w:rPr>
          <w:sz w:val="20"/>
          <w:szCs w:val="20"/>
          <w:color w:val="auto"/>
        </w:rPr>
      </w:pPr>
    </w:p>
    <w:p>
      <w:pPr>
        <w:jc w:val="both"/>
        <w:ind w:firstLine="8"/>
        <w:spacing w:after="0" w:line="256" w:lineRule="auto"/>
        <w:tabs>
          <w:tab w:leader="none" w:pos="25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the Work Safety Law of the People’s Republic of China, Party B is the primary person responsible for work safety within its leased area. From the effective date of the main contract until the contract terminates and Party B transfers the leased premises designated in the main contract back to Party A, Party B shall be fully responsible for production safety within the leased area, perform all work safety responsibilities and obligations, and bear the main responsibility for safety management of daily production, business operations, and related work/living activities in the designated leased area. Party B shall establish a full-staff work safety responsibility system as required. Party B’s principal person in charge, work safety management organization, and work safety management personnel shall perform the relevant duties prescribed by the Work Safety Law of the People’s Republic of China.</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67"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urge its employees and cooperating entities to consciously comply with government work safety laws and regulations, property safety management rules, and the safety requirements of this agreement; obey Party A’s unified coordination and management of safety work, actively participate in safety education and publicity activities organized by Party A, and consciously accept Party A’s safety inspections and supervision.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81"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use the premises safely and reasonably in accordance with laws, regulations, and the lease contract, and shall not alter the structure or use nature of the premises without authorization. If Party B discovers safety hazards in the leased premises, Party B shall immediately notify Party A and simultaneously report to the comprehensive management body of the leased premises or other relevant administrative departments.</w:t>
      </w:r>
    </w:p>
    <w:p>
      <w:pPr>
        <w:spacing w:after="0" w:line="176"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decoration/construction is required in Party B’s leased area, the following requirements shall be observed:</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must choose decoration design and construction entities with corresponding qualifications and must handle the relevant approval procedures in accordance with government regulations (such as construction permits, small project filing certificates, fire filing certificates, etc.).</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decoration/construction entity entrusted by Party B shall accept the relevant safety management of Gaoke Property (the property service provider of this Project), comply with the requirements of the “Space Science and Technology Plaza Decoration Guide,” accept safety supervision and inspection by Party A and Gaoke Property, and promptly rectify any safety hazards and issues identified for rectification.</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urge the decoration contractor to formulate work safety measures and strictly implement all safety protection requirements and finished-product protection measures. Dangerous operations must strictly go through approval procedures and be filed with Gaoke Property; the construction site shall have good safety protection facilities and safeguarding measures. Party B shall urge the decoration contractor to appoint a dedicated person responsible for on-site safety supervision and management, promptly correct violations, and supervise rectification of accident hazards.</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needs to make any structural modifications to the building, such modifications must be designed and certified by an engineer recognized by Party A and then submitted to Party A for written approval before implementation.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ind w:left="220" w:hanging="212"/>
        <w:spacing w:after="0"/>
        <w:tabs>
          <w:tab w:leader="none" w:pos="220" w:val="left"/>
        </w:tabs>
        <w:numPr>
          <w:ilvl w:val="0"/>
          <w:numId w:val="117"/>
        </w:numPr>
        <w:rPr>
          <w:rFonts w:ascii="SimSun" w:cs="SimSun" w:eastAsia="SimSun" w:hAnsi="SimSun"/>
          <w:sz w:val="18"/>
          <w:szCs w:val="18"/>
          <w:color w:val="auto"/>
        </w:rPr>
      </w:pPr>
      <w:r>
        <w:rPr>
          <w:rFonts w:ascii="Times New Roman" w:cs="Times New Roman" w:eastAsia="Times New Roman" w:hAnsi="Times New Roman"/>
          <w:sz w:val="18"/>
          <w:szCs w:val="18"/>
          <w:b w:val="1"/>
          <w:bCs w:val="1"/>
          <w:color w:val="auto"/>
        </w:rPr>
        <w:t>(5) At no time shall Party B engage, for any reason or in any manner, in the following conduct:</w:t>
      </w:r>
    </w:p>
    <w:p>
      <w:pPr>
        <w:spacing w:after="0" w:line="226" w:lineRule="exact"/>
        <w:rPr>
          <w:rFonts w:ascii="SimSun" w:cs="SimSun" w:eastAsia="SimSun" w:hAnsi="SimSun"/>
          <w:sz w:val="18"/>
          <w:szCs w:val="18"/>
          <w:color w:val="auto"/>
        </w:rPr>
      </w:pPr>
    </w:p>
    <w:p>
      <w:pPr>
        <w:ind w:left="660" w:hanging="328"/>
        <w:spacing w:after="0" w:line="286" w:lineRule="auto"/>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change of the use function of the leased premises; using the leased premises for business activities must comply with relevant regulations;</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Using the leased premises for gambling, drug use or trafficking, prostitution, producing or selling obscene materials, forging documents, printing illegal publications, manufacturing or selling counterfeit or substandard goods, harboring criminals, or harboring and selling stolen goods, and other illegal or criminal acts;</w:t>
      </w:r>
    </w:p>
    <w:p>
      <w:pPr>
        <w:spacing w:after="0" w:line="19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Using the leased premises for pyramid schemes or disguised pyramid schemes, unlicensed operation, operating clinics without a license, illegal medical practice, and illegal recycling of renewable resources, etc.;</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Using the leased premises for fraudulent activities such as unlicensed employment agencies, matchmaking agencies, training, or real estate agencies;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Using the leased premises to store contraband or to produce, store, or operate flammable, explosive, toxic, radioactive, or other hazardous materials, or engage in other illegal activities;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of throwing objects from height; prevention of falling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-2604135</wp:posOffset>
            </wp:positionV>
            <wp:extent cx="5524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55245" cy="128270"/>
                    </a:xfrm>
                    <a:prstGeom prst="rect">
                      <a:avLst/>
                    </a:prstGeom>
                    <a:noFill/>
                  </pic:spPr>
                </pic:pic>
              </a:graphicData>
            </a:graphic>
          </wp:anchor>
        </w:drawing>
      </w:r>
    </w:p>
    <w:p>
      <w:pPr>
        <w:spacing w:after="0" w:line="205" w:lineRule="exact"/>
        <w:rPr>
          <w:sz w:val="20"/>
          <w:szCs w:val="20"/>
          <w:color w:val="auto"/>
        </w:rPr>
      </w:pPr>
    </w:p>
    <w:p>
      <w:pPr>
        <w:ind w:firstLine="8"/>
        <w:spacing w:after="0" w:line="286" w:lineRule="auto"/>
        <w:tabs>
          <w:tab w:leader="none" w:pos="259"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must fully understand the dangers of throwing objects from height and the civil, administrative, and criminal liabilities that offenders may bear;</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discovers damage or malfunction to the leased premises or its ancillary facilities that may pose risks such as falling from height, Party B shall promptly notify Party A for repair and take effective measures. If the damage or malfunction is caused by Party B, Party B shall be responsible for repair and bear the resulting expenses and losses.</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8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must cultivate civilized habits, educate minors under its guardianship by example to be civilized and act civilly, and prevent the throwing of miscellaneous items downstairs;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7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shall not place or hang flowerpots, mops, or any other miscellaneous items on windowsills, balconies, or parapets to avoid falling-object accidents.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50" w:name="page151"/>
    <w:bookmarkEnd w:id="150"/>
    <w:p>
      <w:pPr>
        <w:ind w:left="660" w:hanging="328"/>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Accident liability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a safety accident occurs within Party B’s leased area, or if damage is caused outside the leased area to the building’s finished works or public facilities/equipment due to Party B’s responsibility, or if personal injury or property loss occurs, Party B shall bear liability. Party B shall promptly report to the relevant government authorities in accordance with national laws and regulations, and simultaneously notify Party A and Gaoke Property.</w:t>
      </w:r>
    </w:p>
    <w:p>
      <w:pPr>
        <w:spacing w:after="0" w:line="176" w:lineRule="exact"/>
        <w:rPr>
          <w:sz w:val="20"/>
          <w:szCs w:val="20"/>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on-site workers within Party B’s leased area violate rules, or if Party B fails to timely rectify safety improvement notices issued by Party A, Party A has the right to require Party B to bear corresponding liability for breach in accordance with the contract.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86"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must properly carry out preventive work to avoid safety production accidents and incidents. Any safety production accident or incident caused by Party B’s inadequate management and prevention shall be fully borne by Party B. Party A has the right, depending on the nature of the accident/incidents and the extent of the loss, to recover economic losses from Party B.</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7"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Party B fails to perform safety responsibilities in accordance with law and causes injury or property damage to others, Party B shall bear compensation liability to the victim in accordance with law.</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firstLine="8"/>
        <w:spacing w:after="0" w:line="286" w:lineRule="auto"/>
        <w:tabs>
          <w:tab w:leader="none" w:pos="26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 dispute arises during implementation of this agreement, the parties shall resolve it through consultation. If consultation fails, either party may file a lawsuit with the People’s Court in the location of the property project.</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 shall take effect upon signature by the legal representatives or authorized agents of both parties and affixing of the company seals.</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 is made in six copies, with Party A and Party B each holding three copies, and all six copies have equal legal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(seal): Shenzhen Space Science High-Tech Investment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or authorized agent (signature):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Shenzhen Space Science High-Tech Investment Management Co.,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Year Month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representative or authorized agent (signature):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Zhou Minghui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Year Month Day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Kit Shing, CHEUNG, certify that:</w:t>
      </w:r>
    </w:p>
    <w:p>
      <w:pPr>
        <w:spacing w:after="0" w:line="225"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Etoiles Capital Group Co.,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Kit Shing, CHEUNG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Hon Fai, TAM, certify that:</w:t>
      </w:r>
    </w:p>
    <w:p>
      <w:pPr>
        <w:spacing w:after="0" w:line="225"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Etoiles Capital Group Co.,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i w:val="1"/>
          <w:iCs w:val="1"/>
          <w:color w:val="auto"/>
        </w:rPr>
        <w:t>/s/ Hon Fai,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Hon Fai, TAM</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Kit Shing, CHEUNG, certify pursuant to 18 U.S.C. Section 1350, as adopted pursuant to Section 906 of the Sarbanes-Oxley Act of 2002, that the Annual Report on Form 20-F of Etoiles Capital Group Co., Ltd for the fiscal year ended December 31, 2025, fully complies with the requirements of Section 13(a) or 15(d) of the Securities Exchange Act of 1934 and that information contained in such Annual Report on Form 20-F fairly presents, in all material respects, the financial condition and results of operations of Etoiles Capital Group Co.,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Kit Shing, CHEUNG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Hon Fai, TAM, certify pursuant to 18 U.S.C. Section 1350, as adopted pursuant to Section 906 of the Sarbanes-Oxley Act of 2002, that the Annual Report on Form 20-F of Etoiles Capital Group Co., Ltd for the fiscal year ended December 31, 2025, fully complies with the requirements of Section 13(a) or 15(d) of the Securities Exchange Act of 1934 and that information contained in such Annual Report on Form 20-F fairly presents, in all material respects, the financial condition and results of operations of Etoiles Capital Group Co.,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Hon Fai,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Hon Fai, TAM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w:t>
      </w:r>
    </w:p>
    <w:p>
      <w:pPr>
        <w:spacing w:after="0" w:line="162"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225" w:lineRule="exact"/>
        <w:rPr>
          <w:rFonts w:ascii="Times New Roman" w:cs="Times New Roman" w:eastAsia="Times New Roman" w:hAnsi="Times New Roman"/>
          <w:sz w:val="18"/>
          <w:szCs w:val="18"/>
          <w:color w:val="auto"/>
        </w:rPr>
      </w:pPr>
    </w:p>
    <w:p>
      <w:pPr>
        <w:jc w:val="center"/>
        <w:ind w:right="8520" w:firstLine="332"/>
        <w:spacing w:after="0" w:line="500" w:lineRule="auto"/>
        <w:tabs>
          <w:tab w:leader="none" w:pos="6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Financial reporting measures include: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which may include, without limitation:</w:t>
      </w:r>
    </w:p>
    <w:p>
      <w:pPr>
        <w:spacing w:after="0" w:line="22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that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Impracticability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F305DEF"/>
    <w:multiLevelType w:val="hybridMultilevel"/>
    <w:lvl w:ilvl="0">
      <w:lvlJc w:val="left"/>
      <w:lvlText w:val="*"/>
      <w:numFmt w:val="bullet"/>
      <w:start w:val="1"/>
    </w:lvl>
    <w:lvl w:ilvl="1">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lowerRoman"/>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1)"/>
      <w:numFmt w:val="lowerRoman"/>
      <w:start w:val="1"/>
    </w:lvl>
  </w:abstractNum>
  <w:abstractNum w:abstractNumId="11">
    <w:nsid w:val="15014ACB"/>
    <w:multiLevelType w:val="hybridMultilevel"/>
    <w:lvl w:ilvl="0">
      <w:lvlJc w:val="left"/>
      <w:lvlText w:val="(%1)"/>
      <w:numFmt w:val="lowerRoman"/>
      <w:start w:val="1"/>
    </w:lvl>
  </w:abstractNum>
  <w:abstractNum w:abstractNumId="12">
    <w:nsid w:val="5F5E7FD0"/>
    <w:multiLevelType w:val="hybridMultilevel"/>
    <w:lvl w:ilvl="0">
      <w:lvlJc w:val="left"/>
      <w:lvlText w:val="(%1)"/>
      <w:numFmt w:val="lowerRoman"/>
      <w:start w:val="3"/>
    </w:lvl>
  </w:abstractNum>
  <w:abstractNum w:abstractNumId="13">
    <w:nsid w:val="98A3148"/>
    <w:multiLevelType w:val="hybridMultilevel"/>
    <w:lvl w:ilvl="0">
      <w:lvlJc w:val="left"/>
      <w:lvlText w:val="(%1)"/>
      <w:numFmt w:val="lowerRoman"/>
      <w:start w:val="3"/>
    </w:lvl>
  </w:abstractNum>
  <w:abstractNum w:abstractNumId="14">
    <w:nsid w:val="799D0247"/>
    <w:multiLevelType w:val="hybridMultilevel"/>
    <w:lvl w:ilvl="0">
      <w:lvlJc w:val="left"/>
      <w:lvlText w:val="(%1)"/>
      <w:numFmt w:val="lowerRoman"/>
      <w:start w:val="1"/>
    </w:lvl>
    <w:lvl w:ilvl="1">
      <w:lvlJc w:val="left"/>
      <w:lvlText w:val="●"/>
      <w:numFmt w:val="bullet"/>
      <w:start w:val="1"/>
    </w:lvl>
  </w:abstractNum>
  <w:abstractNum w:abstractNumId="15">
    <w:nsid w:val="6B94764"/>
    <w:multiLevelType w:val="hybridMultilevel"/>
    <w:lvl w:ilvl="0">
      <w:lvlJc w:val="left"/>
      <w:lvlText w:val="(%1)"/>
      <w:numFmt w:val="lowerLetter"/>
      <w:start w:val="1"/>
    </w:lvl>
  </w:abstractNum>
  <w:abstractNum w:abstractNumId="16">
    <w:nsid w:val="42C296BD"/>
    <w:multiLevelType w:val="hybridMultilevel"/>
    <w:lvl w:ilvl="0">
      <w:lvlJc w:val="left"/>
      <w:lvlText w:val="(%1)"/>
      <w:numFmt w:val="lowerLetter"/>
      <w:start w:val="9"/>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lowerLetter"/>
      <w:start w:val="1"/>
    </w:lvl>
  </w:abstractNum>
  <w:abstractNum w:abstractNumId="21">
    <w:nsid w:val="540A471C"/>
    <w:multiLevelType w:val="hybridMultilevel"/>
    <w:lvl w:ilvl="0">
      <w:lvlJc w:val="left"/>
      <w:lvlText w:val="(%1)"/>
      <w:numFmt w:val="lowerRoman"/>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1)"/>
      <w:numFmt w:val="decimal"/>
      <w:start w:val="1"/>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emdash "/>
      <w:numFmt w:val="bullet"/>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1."/>
      <w:numFmt w:val="decimal"/>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lowerLetter"/>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1)"/>
      <w:numFmt w:val="lowerLetter"/>
      <w:start w:val="2"/>
    </w:lvl>
  </w:abstractNum>
  <w:abstractNum w:abstractNumId="47">
    <w:nsid w:val="4C04A8AF"/>
    <w:multiLevelType w:val="hybridMultilevel"/>
    <w:lvl w:ilvl="0">
      <w:lvlJc w:val="left"/>
      <w:lvlText w:val="%1."/>
      <w:numFmt w:val="upperLetter"/>
      <w:start w:val="1"/>
    </w:lvl>
  </w:abstractNum>
  <w:abstractNum w:abstractNumId="48">
    <w:nsid w:val="1716703B"/>
    <w:multiLevelType w:val="hybridMultilevel"/>
    <w:lvl w:ilvl="0">
      <w:lvlJc w:val="left"/>
      <w:lvlText w:val="(%1)"/>
      <w:numFmt w:val="decimal"/>
      <w:start w:val="1"/>
    </w:lvl>
    <w:lvl w:ilvl="1">
      <w:lvlJc w:val="left"/>
      <w:lvlText w:val="(%2)"/>
      <w:numFmt w:val="lowerLetter"/>
      <w:start w:val="2"/>
    </w:lvl>
  </w:abstractNum>
  <w:abstractNum w:abstractNumId="49">
    <w:nsid w:val="14E17E33"/>
    <w:multiLevelType w:val="hybridMultilevel"/>
    <w:lvl w:ilvl="0">
      <w:lvlJc w:val="left"/>
      <w:lvlText w:val="(%1)"/>
      <w:numFmt w:val="decimal"/>
      <w:start w:val="2"/>
    </w:lvl>
  </w:abstractNum>
  <w:abstractNum w:abstractNumId="50">
    <w:nsid w:val="3222E7CD"/>
    <w:multiLevelType w:val="hybridMultilevel"/>
    <w:lvl w:ilvl="0">
      <w:lvlJc w:val="left"/>
      <w:lvlText w:val="(%1)"/>
      <w:numFmt w:val="lowerLetter"/>
      <w:start w:val="1"/>
    </w:lvl>
  </w:abstractNum>
  <w:abstractNum w:abstractNumId="51">
    <w:nsid w:val="74DE0EE3"/>
    <w:multiLevelType w:val="hybridMultilevel"/>
    <w:lvl w:ilvl="0">
      <w:lvlJc w:val="left"/>
      <w:lvlText w:val="(%1)"/>
      <w:numFmt w:val="lowerRoman"/>
      <w:start w:val="1"/>
    </w:lvl>
  </w:abstractNum>
  <w:abstractNum w:abstractNumId="52">
    <w:nsid w:val="68EBC550"/>
    <w:multiLevelType w:val="hybridMultilevel"/>
    <w:lvl w:ilvl="0">
      <w:lvlJc w:val="left"/>
      <w:lvlText w:val="(%1)"/>
      <w:numFmt w:val="lowerLetter"/>
      <w:start w:val="1"/>
    </w:lvl>
  </w:abstractNum>
  <w:abstractNum w:abstractNumId="53">
    <w:nsid w:val="2DF6D648"/>
    <w:multiLevelType w:val="hybridMultilevel"/>
    <w:lvl w:ilvl="0">
      <w:lvlJc w:val="left"/>
      <w:lvlText w:val="(%1)"/>
      <w:numFmt w:val="lowerLetter"/>
      <w:start w:val="3"/>
    </w:lvl>
  </w:abstractNum>
  <w:abstractNum w:abstractNumId="54">
    <w:nsid w:val="46B7D447"/>
    <w:multiLevelType w:val="hybridMultilevel"/>
    <w:lvl w:ilvl="0">
      <w:lvlJc w:val="left"/>
      <w:lvlText w:val="(%1)"/>
      <w:numFmt w:val="lowerLetter"/>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1)"/>
      <w:numFmt w:val="lowerRoman"/>
      <w:start w:val="1"/>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lowerLetter"/>
      <w:start w:val="1"/>
    </w:lvl>
  </w:abstractNum>
  <w:abstractNum w:abstractNumId="62">
    <w:nsid w:val="7F01579B"/>
    <w:multiLevelType w:val="hybridMultilevel"/>
    <w:lvl w:ilvl="0">
      <w:lvlJc w:val="left"/>
      <w:lvlText w:val="(%1)"/>
      <w:numFmt w:val="lowerRoman"/>
      <w:start w:val="3"/>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2"/>
    </w:lvl>
  </w:abstractNum>
  <w:abstractNum w:abstractNumId="65">
    <w:nsid w:val="5FB8370B"/>
    <w:multiLevelType w:val="hybridMultilevel"/>
    <w:lvl w:ilvl="0">
      <w:lvlJc w:val="left"/>
      <w:lvlText w:val="%1."/>
      <w:numFmt w:val="decimal"/>
      <w:start w:val="6"/>
    </w:lvl>
    <w:lvl w:ilvl="1">
      <w:lvlJc w:val="left"/>
      <w:lvlText w:val="-"/>
      <w:numFmt w:val="bullet"/>
      <w:start w:val="1"/>
    </w:lvl>
  </w:abstractNum>
  <w:abstractNum w:abstractNumId="66">
    <w:nsid w:val="50801EE1"/>
    <w:multiLevelType w:val="hybridMultilevel"/>
    <w:lvl w:ilvl="0">
      <w:lvlJc w:val="left"/>
      <w:lvlText w:val="%1."/>
      <w:numFmt w:val="decimal"/>
      <w:start w:val="11"/>
    </w:lvl>
  </w:abstractNum>
  <w:abstractNum w:abstractNumId="67">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5FB8011C"/>
    <w:multiLevelType w:val="hybridMultilevel"/>
    <w:lvl w:ilvl="0">
      <w:lvlJc w:val="left"/>
      <w:lvlText w:val="%1)"/>
      <w:numFmt w:val="decimal"/>
      <w:start w:val="4"/>
    </w:lvl>
    <w:lvl w:ilvl="1">
      <w:lvlJc w:val="left"/>
      <w:lvlText w:val="-"/>
      <w:numFmt w:val="bullet"/>
      <w:start w:val="1"/>
    </w:lvl>
  </w:abstractNum>
  <w:abstractNum w:abstractNumId="69">
    <w:nsid w:val="6AA78F7F"/>
    <w:multiLevelType w:val="hybridMultilevel"/>
    <w:lvl w:ilvl="0">
      <w:lvlJc w:val="left"/>
      <w:lvlText w:val="%1."/>
      <w:numFmt w:val="decimal"/>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4"/>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①"/>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1)"/>
      <w:numFmt w:val="decimal"/>
      <w:start w:val="1"/>
    </w:lvl>
  </w:abstractNum>
  <w:abstractNum w:abstractNumId="87">
    <w:nsid w:val="59ADEA3D"/>
    <w:multiLevelType w:val="hybridMultilevel"/>
    <w:lvl w:ilvl="0">
      <w:lvlJc w:val="left"/>
      <w:lvlText w:val="(%1)"/>
      <w:numFmt w:val="decimal"/>
      <w:start w:val="3"/>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2"/>
    </w:lvl>
  </w:abstractNum>
  <w:abstractNum w:abstractNumId="90">
    <w:nsid w:val="1D9F6E5F"/>
    <w:multiLevelType w:val="hybridMultilevel"/>
    <w:lvl w:ilvl="0">
      <w:lvlJc w:val="left"/>
      <w:lvlText w:val="(%1)"/>
      <w:numFmt w:val="decimal"/>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1"/>
    </w:lvl>
  </w:abstractNum>
  <w:abstractNum w:abstractNumId="93">
    <w:nsid w:val="1CA0C5FA"/>
    <w:multiLevelType w:val="hybridMultilevel"/>
    <w:lvl w:ilvl="0">
      <w:lvlJc w:val="left"/>
      <w:lvlText w:val="(%1)"/>
      <w:numFmt w:val="decimal"/>
      <w:start w:val="2"/>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1)"/>
      <w:numFmt w:val="decimal"/>
      <w:start w:val="5"/>
    </w:lvl>
  </w:abstractNum>
  <w:abstractNum w:abstractNumId="97">
    <w:nsid w:val="23D86AAC"/>
    <w:multiLevelType w:val="hybridMultilevel"/>
    <w:lvl w:ilvl="0">
      <w:lvlJc w:val="left"/>
      <w:lvlText w:val="(%1)"/>
      <w:numFmt w:val="decimal"/>
      <w:start w:val="1"/>
    </w:lvl>
  </w:abstractNum>
  <w:abstractNum w:abstractNumId="98">
    <w:nsid w:val="45E6D486"/>
    <w:multiLevelType w:val="hybridMultilevel"/>
    <w:lvl w:ilvl="0">
      <w:lvlJc w:val="left"/>
      <w:lvlText w:val="(%1)"/>
      <w:numFmt w:val="decimal"/>
      <w:start w:val="5"/>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1)"/>
      <w:numFmt w:val="decimal"/>
      <w:start w:val="3"/>
    </w:lvl>
  </w:abstractNum>
  <w:abstractNum w:abstractNumId="101">
    <w:nsid w:val="3C5991AA"/>
    <w:multiLevelType w:val="hybridMultilevel"/>
    <w:lvl w:ilvl="0">
      <w:lvlJc w:val="left"/>
      <w:lvlText w:val="(%1)"/>
      <w:numFmt w:val="decimal"/>
      <w:start w:val="1"/>
    </w:lvl>
  </w:abstractNum>
  <w:abstractNum w:abstractNumId="102">
    <w:nsid w:val="4BD8591A"/>
    <w:multiLevelType w:val="hybridMultilevel"/>
    <w:lvl w:ilvl="0">
      <w:lvlJc w:val="left"/>
      <w:lvlText w:val="(%1)"/>
      <w:numFmt w:val="decimal"/>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1)"/>
      <w:numFmt w:val="decimal"/>
      <w:start w:val="2"/>
    </w:lvl>
  </w:abstractNum>
  <w:abstractNum w:abstractNumId="105">
    <w:nsid w:val="2B0D8DBE"/>
    <w:multiLevelType w:val="hybridMultilevel"/>
    <w:lvl w:ilvl="0">
      <w:lvlJc w:val="left"/>
      <w:lvlText w:val="(%1)"/>
      <w:numFmt w:val="decimal"/>
      <w:start w:val="5"/>
    </w:lvl>
  </w:abstractNum>
  <w:abstractNum w:abstractNumId="106">
    <w:nsid w:val="6C80EC70"/>
    <w:multiLevelType w:val="hybridMultilevel"/>
    <w:lvl w:ilvl="0">
      <w:lvlJc w:val="left"/>
      <w:lvlText w:val="(%1)"/>
      <w:numFmt w:val="decimal"/>
      <w:start w:val="6"/>
    </w:lvl>
  </w:abstractNum>
  <w:abstractNum w:abstractNumId="107">
    <w:nsid w:val="379E21B5"/>
    <w:multiLevelType w:val="hybridMultilevel"/>
    <w:lvl w:ilvl="0">
      <w:lvlJc w:val="left"/>
      <w:lvlText w:val="%1."/>
      <w:numFmt w:val="decimal"/>
      <w:start w:val="1"/>
    </w:lvl>
  </w:abstractNum>
  <w:abstractNum w:abstractNumId="108">
    <w:nsid w:val="69E373"/>
    <w:multiLevelType w:val="hybridMultilevel"/>
    <w:lvl w:ilvl="0">
      <w:lvlJc w:val="left"/>
      <w:lvlText w:val="%1"/>
      <w:numFmt w:val="decimal"/>
      <w:start w:val="1"/>
    </w:lvl>
    <w:lvl w:ilvl="1">
      <w:lvlJc w:val="left"/>
      <w:lvlText w:val="%2."/>
      <w:numFmt w:val="decimal"/>
      <w:start w:val="1"/>
    </w:lvl>
  </w:abstractNum>
  <w:abstractNum w:abstractNumId="109">
    <w:nsid w:val="2C27173B"/>
    <w:multiLevelType w:val="hybridMultilevel"/>
    <w:lvl w:ilvl="0">
      <w:lvlJc w:val="left"/>
      <w:lvlText w:val="(%1)"/>
      <w:numFmt w:val="decimal"/>
      <w:start w:val="1"/>
    </w:lvl>
    <w:lvl w:ilvl="1">
      <w:lvlJc w:val="left"/>
      <w:lvlText w:val="%2."/>
      <w:numFmt w:val="decimal"/>
      <w:start w:val="2"/>
    </w:lvl>
  </w:abstractNum>
  <w:abstractNum w:abstractNumId="110">
    <w:nsid w:val="4C9B0904"/>
    <w:multiLevelType w:val="hybridMultilevel"/>
    <w:lvl w:ilvl="0">
      <w:lvlJc w:val="left"/>
      <w:lvlText w:val="(%1)"/>
      <w:numFmt w:val="decimal"/>
      <w:start w:val="1"/>
    </w:lvl>
    <w:lvl w:ilvl="1">
      <w:lvlJc w:val="left"/>
      <w:lvlText w:val="%2."/>
      <w:numFmt w:val="decimal"/>
      <w:start w:val="1"/>
    </w:lvl>
  </w:abstractNum>
  <w:abstractNum w:abstractNumId="111">
    <w:nsid w:val="6AA7B75C"/>
    <w:multiLevelType w:val="hybridMultilevel"/>
    <w:lvl w:ilvl="0">
      <w:lvlJc w:val="left"/>
      <w:lvlText w:val="%1."/>
      <w:numFmt w:val="decimal"/>
      <w:start w:val="2"/>
    </w:lvl>
  </w:abstractNum>
  <w:abstractNum w:abstractNumId="112">
    <w:nsid w:val="1DF029D3"/>
    <w:multiLevelType w:val="hybridMultilevel"/>
    <w:lvl w:ilvl="0">
      <w:lvlJc w:val="left"/>
      <w:lvlText w:val="(%1)"/>
      <w:numFmt w:val="decimal"/>
      <w:start w:val="2"/>
    </w:lvl>
    <w:lvl w:ilvl="1">
      <w:lvlJc w:val="left"/>
      <w:lvlText w:val="%2."/>
      <w:numFmt w:val="decimal"/>
      <w:start w:val="1"/>
    </w:lvl>
  </w:abstractNum>
  <w:abstractNum w:abstractNumId="113">
    <w:nsid w:val="5675FF36"/>
    <w:multiLevelType w:val="hybridMultilevel"/>
    <w:lvl w:ilvl="0">
      <w:lvlJc w:val="left"/>
      <w:lvlText w:val="%1."/>
      <w:numFmt w:val="decimal"/>
      <w:start w:val="3"/>
    </w:lvl>
  </w:abstractNum>
  <w:abstractNum w:abstractNumId="114">
    <w:nsid w:val="3DD15094"/>
    <w:multiLevelType w:val="hybridMultilevel"/>
    <w:lvl w:ilvl="0">
      <w:lvlJc w:val="left"/>
      <w:lvlText w:val="(%1)"/>
      <w:numFmt w:val="decimal"/>
      <w:start w:val="1"/>
    </w:lvl>
    <w:lvl w:ilvl="1">
      <w:lvlJc w:val="left"/>
      <w:lvlText w:val="%2."/>
      <w:numFmt w:val="decimal"/>
      <w:start w:val="4"/>
    </w:lvl>
  </w:abstractNum>
  <w:abstractNum w:abstractNumId="115">
    <w:nsid w:val="3DB012B3"/>
    <w:multiLevelType w:val="hybridMultilevel"/>
    <w:lvl w:ilvl="0">
      <w:lvlJc w:val="left"/>
      <w:lvlText w:val="(%1)"/>
      <w:numFmt w:val="decimal"/>
      <w:start w:val="1"/>
    </w:lvl>
    <w:lvl w:ilvl="1">
      <w:lvlJc w:val="left"/>
      <w:lvlText w:val="%2."/>
      <w:numFmt w:val="decimal"/>
      <w:start w:val="1"/>
    </w:lvl>
  </w:abstractNum>
  <w:abstractNum w:abstractNumId="116">
    <w:nsid w:val="2708C9AF"/>
    <w:multiLevelType w:val="hybridMultilevel"/>
    <w:lvl w:ilvl="0">
      <w:lvlJc w:val="left"/>
      <w:lvlText w:val="（"/>
      <w:numFmt w:val="bullet"/>
      <w:start w:val="1"/>
    </w:lvl>
    <w:lvl w:ilvl="1">
      <w:lvlJc w:val="left"/>
      <w:lvlText w:val="%2."/>
      <w:numFmt w:val="decimal"/>
      <w:start w:val="1"/>
    </w:lvl>
  </w:abstractNum>
  <w:abstractNum w:abstractNumId="117">
    <w:nsid w:val="5B25ACE2"/>
    <w:multiLevelType w:val="hybridMultilevel"/>
    <w:lvl w:ilvl="0">
      <w:lvlJc w:val="left"/>
      <w:lvlText w:val="(%1)"/>
      <w:numFmt w:val="decimal"/>
      <w:start w:val="1"/>
    </w:lvl>
  </w:abstractNum>
  <w:abstractNum w:abstractNumId="118">
    <w:nsid w:val="175DFCF0"/>
    <w:multiLevelType w:val="hybridMultilevel"/>
    <w:lvl w:ilvl="0">
      <w:lvlJc w:val="left"/>
      <w:lvlText w:val="%1."/>
      <w:numFmt w:val="decimal"/>
      <w:start w:val="5"/>
    </w:lvl>
  </w:abstractNum>
  <w:abstractNum w:abstractNumId="119">
    <w:nsid w:val="4F97E3E4"/>
    <w:multiLevelType w:val="hybridMultilevel"/>
    <w:lvl w:ilvl="0">
      <w:lvlJc w:val="left"/>
      <w:lvlText w:val="%1"/>
      <w:numFmt w:val="decimal"/>
      <w:start w:val="1"/>
    </w:lvl>
    <w:lvl w:ilvl="1">
      <w:lvlJc w:val="left"/>
      <w:lvlText w:val="%2."/>
      <w:numFmt w:val="decimal"/>
      <w:start w:val="6"/>
    </w:lvl>
  </w:abstractNum>
  <w:abstractNum w:abstractNumId="120">
    <w:nsid w:val="53B0A9E"/>
    <w:multiLevelType w:val="hybridMultilevel"/>
    <w:lvl w:ilvl="0">
      <w:lvlJc w:val="left"/>
      <w:lvlText w:val="(%1)"/>
      <w:numFmt w:val="decimal"/>
      <w:start w:val="1"/>
    </w:lvl>
    <w:lvl w:ilvl="1">
      <w:lvlJc w:val="left"/>
      <w:lvlText w:val="%2."/>
      <w:numFmt w:val="decimal"/>
      <w:start w:val="7"/>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1"/>
    </w:lvl>
    <w:lvl w:ilvl="1">
      <w:lvlJc w:val="left"/>
      <w:lvlText w:val="%2."/>
      <w:numFmt w:val="lowerLetter"/>
      <w:start w:val="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
      <w:numFmt w:val="bullet"/>
      <w:start w:val="1"/>
    </w:lvl>
  </w:abstractNum>
  <w:abstractNum w:abstractNumId="126">
    <w:nsid w:val="17A1B5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jpe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jpe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jpeg"/><Relationship Id="rId179" Type="http://schemas.openxmlformats.org/officeDocument/2006/relationships/image" Target="media/image164.png"/><Relationship Id="rId180" Type="http://schemas.openxmlformats.org/officeDocument/2006/relationships/image" Target="media/image165.jpe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78" Type="http://schemas.openxmlformats.org/officeDocument/2006/relationships/hyperlink" Target="http://www.sec.gov/Archives/edgar/data/2058349/000121390025043926/ea022799504ex3-1_thrive.htm" TargetMode="External"/><Relationship Id="rId79" Type="http://schemas.openxmlformats.org/officeDocument/2006/relationships/hyperlink" Target="http://www.sec.gov/Archives/edgar/data/2058349/000121390025043926/ea022799504ex10-1_thrive.htm" TargetMode="External"/><Relationship Id="rId80" Type="http://schemas.openxmlformats.org/officeDocument/2006/relationships/hyperlink" Target="http://www.sec.gov/Archives/edgar/data/2058349/000121390025043926/ea022799504ex10-2_thrive.htm" TargetMode="External"/><Relationship Id="rId81" Type="http://schemas.openxmlformats.org/officeDocument/2006/relationships/hyperlink" Target="http://www.sec.gov/Archives/edgar/data/2058349/000121390025043926/ea022799504ex10-3_thrive.htm" TargetMode="External"/><Relationship Id="rId82" Type="http://schemas.openxmlformats.org/officeDocument/2006/relationships/hyperlink" Target="http://www.sec.gov/Archives/edgar/data/2058349/000121390025043926/ea022799504ex10-4_thrive.htm" TargetMode="External"/><Relationship Id="rId83" Type="http://schemas.openxmlformats.org/officeDocument/2006/relationships/hyperlink" Target="http://www.sec.gov/Archives/edgar/data/2058349/000121390025043926/ea022799504ex21-1_thrive.htm" TargetMode="External"/><Relationship Id="rId84" Type="http://schemas.openxmlformats.org/officeDocument/2006/relationships/hyperlink" Target="http://www.sec.gov/Archives/edgar/data/2058349/000121390025043926/ea022799504ex14-1_thrive.htm" TargetMode="External"/><Relationship Id="rId85" Type="http://schemas.openxmlformats.org/officeDocument/2006/relationships/hyperlink" Target="http://www.sec.gov/Archives/edgar/data/2058349/000121390025043926/ea022799504ex99-10_thr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2026-05-14T05:23:34Z</dcterms:created>
  <dcterms:modified xsi:type="dcterms:W3CDTF">2026-05-14T05:23:34Z</dcterms:modified>
</cp:coreProperties>
</file>