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797-6k_etoiles.htm"/>
      <w:bookmarkStart w:id="1" w:name="ksea02997976k_etoiles"/>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001-42793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ETOILES CAPITAL GROUP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03-04, 25/F, Cosco Tower, 183 Queen’s Road Central,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Sheung Wan,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Form 6-K, unless otherwise indicated, the terms “</w:t>
      </w:r>
      <w:r>
        <w:rPr>
          <w:rFonts w:ascii="Times New Roman;Times;Serif" w:hAnsi="Times New Roman;Times;Serif"/>
          <w:b/>
          <w:i w:val="false"/>
          <w:caps w:val="false"/>
          <w:smallCaps w:val="false"/>
          <w:sz w:val="20"/>
        </w:rPr>
        <w:t>the 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EFTY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refer to Etoiles Capital Group Co., Ltd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Departure of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Heung Ping Wong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2026, Heung Ping Wong (“</w:t>
      </w:r>
      <w:r>
        <w:rPr>
          <w:rFonts w:ascii="Times New Roman;Times;Serif" w:hAnsi="Times New Roman;Times;Serif"/>
          <w:b/>
          <w:i w:val="false"/>
          <w:caps w:val="false"/>
          <w:smallCaps w:val="false"/>
          <w:sz w:val="20"/>
        </w:rPr>
        <w:t>Mr. Wong</w:t>
      </w:r>
      <w:r>
        <w:rPr>
          <w:rFonts w:ascii="Times New Roman;Times;Serif" w:hAnsi="Times New Roman;Times;Serif"/>
          <w:b w:val="false"/>
          <w:i w:val="false"/>
          <w:caps w:val="false"/>
          <w:smallCaps w:val="false"/>
          <w:sz w:val="20"/>
        </w:rPr>
        <w:t>”) resigned as an independent director, chairman of the compensation committee, and member of the audit committee and nominating and corporate governance committee of Etoiles Capital Group Co.,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Mr. Wong has indicated his resignation is for personal reasons and not as a result of any dispute or disagreement with the Company or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Appointment of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2026, the Board of Directors, Nominating and Corporate Governance Committee, and the Compensation Committee of the Company approved by resolutions and confirmed the appointment of Nancy Yang (“</w:t>
      </w:r>
      <w:r>
        <w:rPr>
          <w:rFonts w:ascii="Times New Roman;Times;Serif" w:hAnsi="Times New Roman;Times;Serif"/>
          <w:b/>
          <w:i w:val="false"/>
          <w:caps w:val="false"/>
          <w:smallCaps w:val="false"/>
          <w:sz w:val="20"/>
        </w:rPr>
        <w:t>Ms. Yang”</w:t>
      </w:r>
      <w:r>
        <w:rPr>
          <w:rFonts w:ascii="Times New Roman;Times;Serif" w:hAnsi="Times New Roman;Times;Serif"/>
          <w:b w:val="false"/>
          <w:i w:val="false"/>
          <w:caps w:val="false"/>
          <w:smallCaps w:val="false"/>
          <w:sz w:val="20"/>
        </w:rPr>
        <w:t>) as a director of the Company, with an annual compensation of HK$12,000, effective upon approval of the resolutions, until her successor is duly elected and qualified, or until his earlier death, resignation or removal. The Board has determined Ms. Yang (i) is an “independent” director under applicable U.S. Securities and Exchange Commission and Nasdaq Marketplace Rules, and (ii) qualifies as an “audit committee financial expert” as defined under Item 407(d)(5) of Regulation S-K promulgated under the Securities Exchange Act of 1934, as amended, and possesses the requisite financial sophistication under Rule 5605(c)(2)(A) of the Nasdaq Stock Market LLC Listing Rules. Ms. Yang will be serving on the Board of Directors as a non-employee, independent director. Ms. Yang has also been named as the chairman of the compensation committee and a member of the audit committee and nominating and corporate governance committee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our offer letter to Ms. Yang are qualified in their entirety by reference to the full text thereof, which is attached as Exhibit 10.1 hereto and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Ms. Yang and any other employees of the Company or members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Ms. Yang, a U.S. citizen residing in the U.S., represents a significant step in increasing the presence of U.S.-based members on the Board and strengthening the nexus between the Company and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Company’s report on Form 6-K furnished on July 8, 2026, the Company intends to restructure the Board such that approximately one-half of its members are citizens, nationals or residents of the United States. Consistent with that intention, the Board is currently identifying additional suitable candidates with a United States background for appointment to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biographical information of Ms. Yang is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Nancy Yang, age 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Yang has over ten years of experience in the finance industry in the U.S. Since January 2018, Ms. Yang has been serving as director of finance at United States Veterans Initiative in Washington. From June 2016 to January 2018, Ms. Yang worked in Clover Integrations, Inc. as a business analyst. From December 2014 to June 2016, Ms. Yang worked in Commerzbank AG s a business analyst. From December 2013 to June 2014, Ms. Yang worked in Landesbank Baden-Wuerttemberg as a financial analyst. Ms. Yang received a bachelor of accounting and master of accounting from New York University in 2013. Ms. Yang is a U.S. citizen and resides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8245" w:type="dxa"/>
        <w:jc w:val="left"/>
        <w:tblInd w:w="0" w:type="dxa"/>
        <w:tblLayout w:type="fixed"/>
        <w:tblCellMar>
          <w:top w:w="0" w:type="dxa"/>
          <w:left w:w="0" w:type="dxa"/>
          <w:bottom w:w="28" w:type="dxa"/>
          <w:right w:w="0" w:type="dxa"/>
        </w:tblCellMar>
      </w:tblPr>
      <w:tblGrid>
        <w:gridCol w:w="995"/>
        <w:gridCol w:w="60"/>
        <w:gridCol w:w="719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19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190" w:type="dxa"/>
            <w:tcBorders/>
            <w:shd w:fill="CCEEFF" w:val="clear"/>
            <w:tcMar>
              <w:bottom w:w="0" w:type="dxa"/>
            </w:tcMar>
            <w:vAlign w:val="center"/>
          </w:tcPr>
          <w:p>
            <w:pPr>
              <w:pStyle w:val="TableContents"/>
              <w:bidi w:val="0"/>
              <w:spacing w:before="0" w:after="283"/>
              <w:jc w:val="both"/>
              <w:rPr/>
            </w:pPr>
            <w:hyperlink w:anchor="ea029979701ex10-1.htm">
              <w:r>
                <w:rPr>
                  <w:rStyle w:val="InternetLink"/>
                  <w:rFonts w:ascii="Times New Roman;Times;Serif" w:hAnsi="Times New Roman;Times;Serif"/>
                  <w:b w:val="false"/>
                  <w:i w:val="false"/>
                  <w:caps w:val="false"/>
                  <w:smallCaps w:val="false"/>
                  <w:sz w:val="20"/>
                </w:rPr>
                <w:t>Form of Independent Director Agreement by and between the registrant and Nancy Yang</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1760"/>
        <w:gridCol w:w="590"/>
        <w:gridCol w:w="3140"/>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7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Etoiles Capital Group Co., Ltd</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Kit Shing, CHEUNG</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Kit Shing, CHEUNG</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Chief Executive Officer, and </w:t>
              <w:br/>
              <w:t>Chairman of the Board of Directors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979701ex10-1.htm"/>
      <w:bookmarkStart w:id="3" w:name="ksea0299797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INDEPENDENT DIRECTOR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INDEPENDENT DIRECTOR AGREEMENT </w:t>
      </w:r>
      <w:r>
        <w:rPr>
          <w:rFonts w:ascii="Times New Roman;Times;Serif" w:hAnsi="Times New Roman;Times;Serif"/>
          <w:b w:val="false"/>
          <w:i w:val="false"/>
          <w:caps w:val="false"/>
          <w:smallCaps w:val="false"/>
          <w:sz w:val="20"/>
        </w:rPr>
        <w:t xml:space="preserve">(this “Agreement”), dated as of August 1, 2026, is by and between </w:t>
      </w:r>
      <w:r>
        <w:rPr>
          <w:rFonts w:ascii="Times New Roman;Times;Serif" w:hAnsi="Times New Roman;Times;Serif"/>
          <w:b/>
          <w:i w:val="false"/>
          <w:caps w:val="false"/>
          <w:smallCaps w:val="false"/>
          <w:sz w:val="20"/>
        </w:rPr>
        <w:t>Etoiles Capital Group Co., Ltd</w:t>
      </w:r>
      <w:r>
        <w:rPr>
          <w:rFonts w:ascii="Times New Roman;Times;Serif" w:hAnsi="Times New Roman;Times;Serif"/>
          <w:b w:val="false"/>
          <w:i w:val="false"/>
          <w:caps w:val="false"/>
          <w:smallCaps w:val="false"/>
          <w:sz w:val="20"/>
        </w:rPr>
        <w:t>, a company incorporated under the laws of the Cayman Islands (the “Company”), and Nancy Yang, an individual (the “Director”) and shall become effective on the date this Agreement (the “Effective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appoint the Director to serve on the Company’s board of directors (the “Board”) and the Director desires to accept such appointment to serve on the Board;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Director may be appointed to serve as a member or chair of one or more committees of the Board.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Director’s services to the Company as a member of the Board, as a member of such committees of the Board to which the Director may be appointed from time to time and as chair of one or more committees to which the Director may be appointed in such capacity from time to time, and intending to be legally bound hereby, the Company and the Director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 xml:space="preserve">Term. </w:t>
      </w:r>
      <w:r>
        <w:rPr>
          <w:rFonts w:ascii="Times New Roman;Times;Serif" w:hAnsi="Times New Roman;Times;Serif"/>
          <w:b w:val="false"/>
          <w:i w:val="false"/>
          <w:caps w:val="false"/>
          <w:smallCaps w:val="false"/>
          <w:sz w:val="20"/>
        </w:rPr>
        <w:t>The Company hereby appoints the Director, and the Director hereby accepts such appointment by the Company, for the purposes and upon the terms and conditions contained in this Agreement. The term of such appointment shall commence on the Effective Date and shall continue until the Director’s successor is duly elected or appointed and qualified or until the Director’s earlier death, disqualification, resignation or removal from office, pursuant to the terms of this Agreement, the Company’s then current Memorandum and Articles of Association, as may be amended from time to time, or any applicable laws, rules, or regulations (the “Expiration Date”). In the event that the Director’s successor has not been duly elected or appointed as of the Expiration Date, the Director agrees to continue to serve hereunder until such successor has been duly elected or appointed and qualified.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Compensation</w:t>
      </w:r>
      <w:r>
        <w:rPr>
          <w:rFonts w:ascii="Times New Roman;Times;Serif" w:hAnsi="Times New Roman;Times;Serif"/>
          <w:b w:val="false"/>
          <w:i w:val="false"/>
          <w:caps w:val="false"/>
          <w:smallCaps w:val="false"/>
          <w:sz w:val="20"/>
        </w:rPr>
        <w:t>. Upon the Effective Date and during the term of this Agreement, the Director shall receive a monthly remuneration of HK$1,000 which shall accrue on a day to day basis payable in arrears on the last day of each calendar month provided that if the Appointment is terminated prior to the end of a calendar month, the Director shall only be entitled to a proportionate part of such salary in respect of the period of service during the relevant month up to the date of termination (the “Compensation”). The Compensation may be reviewed during the term of this Agreement by the Compensation Committee pursuant to its terms of reference after the Effective Date. Any adjustment of the Compensation shall be recommended by the Compensation Committee (when applicable) and approved by the Board duly convened pursuant to the then current Memorandum and Articles of Association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 xml:space="preserve">Independence. </w:t>
      </w:r>
      <w:r>
        <w:rPr>
          <w:rFonts w:ascii="Times New Roman;Times;Serif" w:hAnsi="Times New Roman;Times;Serif"/>
          <w:b w:val="false"/>
          <w:i w:val="false"/>
          <w:caps w:val="false"/>
          <w:smallCaps w:val="false"/>
          <w:sz w:val="20"/>
        </w:rPr>
        <w:t>The Director acknowledges that appointment to the Board is contingent upon the Board’s determination that the Director is “independent” with respect to the Company in accordance with applicable listing standards of the National Association of Securities Dealers (Nasdaq) and any other applicable rules, and that the Director may be removed from the Board in the event that the Director does not maintain such independence. The Director acknowledges and agrees that the acceptance, directly or indirectly, of any consulting, advisory, or other compensatory fee, other than for Board service, from the Company or any subsidiary thereof will impair the Director’s independence, and the Director agrees not to accept any such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 xml:space="preserve">Duties. </w:t>
      </w:r>
      <w:r>
        <w:rPr>
          <w:rFonts w:ascii="Times New Roman;Times;Serif" w:hAnsi="Times New Roman;Times;Serif"/>
          <w:b w:val="false"/>
          <w:i w:val="false"/>
          <w:caps w:val="false"/>
          <w:smallCaps w:val="false"/>
          <w:sz w:val="20"/>
        </w:rPr>
        <w:t>The Director shall exercise all powers in good faith and in the best interests of the Company, including but not limited to, attending all required meetings of the Board or applicable committees thereof, executive sessions of the independent directors, reviewing filing reports and other corporate documents as requested by the Company, providing comments and opinions as to business matters as requested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Conflicts of Interest/A</w:t>
      </w:r>
      <w:r>
        <w:rPr>
          <w:rFonts w:ascii="Times New Roman;Times;Serif" w:hAnsi="Times New Roman;Times;Serif"/>
          <w:b w:val="false"/>
          <w:i w:val="false"/>
          <w:caps w:val="false"/>
          <w:smallCaps w:val="false"/>
          <w:sz w:val="20"/>
        </w:rPr>
        <w:t>p</w:t>
      </w:r>
      <w:r>
        <w:rPr>
          <w:rFonts w:ascii="Times New Roman;Times;Serif" w:hAnsi="Times New Roman;Times;Serif"/>
          <w:b w:val="false"/>
          <w:i w:val="false"/>
          <w:caps w:val="false"/>
          <w:smallCaps w:val="false"/>
          <w:sz w:val="20"/>
          <w:u w:val="single"/>
        </w:rPr>
        <w:t>plicable Law</w:t>
      </w:r>
      <w:r>
        <w:rPr>
          <w:rFonts w:ascii="Times New Roman;Times;Serif" w:hAnsi="Times New Roman;Times;Serif"/>
          <w:b w:val="false"/>
          <w:i w:val="false"/>
          <w:caps w:val="false"/>
          <w:smallCaps w:val="false"/>
          <w:sz w:val="20"/>
        </w:rPr>
        <w:t>. In the event that the Director has a direct or indirect financial or personal interest in a contract or transaction to which the Company is a party, or the Director is contemplating entering into a transaction that involves use of corporate assets or competition against the Company, the Director shall promptly disclose such potential conflict to the applicable Board committee or the Board and proceed as directed by such committee or the Board, as applicable. The Director acknowledges the duty of loyalty and the duty of care owed to the Company pursuant to applicable law and agrees to act in all cases in accordance with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Corporate Opportunities</w:t>
      </w:r>
      <w:r>
        <w:rPr>
          <w:rFonts w:ascii="Times New Roman;Times;Serif" w:hAnsi="Times New Roman;Times;Serif"/>
          <w:b w:val="false"/>
          <w:i w:val="false"/>
          <w:caps w:val="false"/>
          <w:smallCaps w:val="false"/>
          <w:sz w:val="20"/>
        </w:rPr>
        <w:t>. Whenever the Director becomes aware of a business opportunity related to the Company’s business, which one could reasonably expect the Director to make available to the Company, the Director shall promptly disclose such opportunity to the applicable Board committee or the Board and proceed as directed by such committee or the Board,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Confidentialit</w:t>
      </w:r>
      <w:r>
        <w:rPr>
          <w:rFonts w:ascii="Times New Roman;Times;Serif" w:hAnsi="Times New Roman;Times;Serif"/>
          <w:b w:val="false"/>
          <w:i w:val="false"/>
          <w:caps w:val="false"/>
          <w:smallCaps w:val="false"/>
          <w:sz w:val="20"/>
        </w:rPr>
        <w:t>y. The Director agrees and acknowledges that, by reason of the nature of the Director’s duties on the Board, the Director will have or may have access to and become informed of proprietary, confidential and secret information which is a competitive asset of the Company (the “Confidential Information”), including, without limitation, any lists of customers or suppliers, distributors, financial statistics, research data or any other statistics and plans or operation plans or other trade secrets of the Company and any of the foregoing which belong to any person or company but to which the Director has had access by reason of the Director’s relationship with the Company. The term “Confidential Information” shall not include information which: (i) is or becomes generally available to the public other than as a result of a disclosure by the Director or the Director’s representatives; or (ii) is required to be disclosed by the Director due to governmental regulatory or judicial process. The Director agrees faithfully to keep in strict confidence, and not, either directly or indirectly, to make known, divulge, reveal, furnish, make available or use (except for use in the regular course of employment duties) any such Confidential Information. The Director acknowledges that all manuals, instruction books, price lists, information and records and other information and aids relating to the Company’s business, and any and all other documents containing Confidential Information furnished to the Director by the Company or otherwise acquired or developed by the Director, shall at all times be the property of the Company. Upon termination of the Director’s services hereunder, the Director shall return to the Company any such property or documents which are in the Director’s possession, custody or control, but this obligation of confidentiality shall survive such termination until and unless any such Confidential Information shall have become, through no fault of the Director, generally known to the public. The obligations of the Director under this subsection are in addition to, and not in limitation or preemption of, all other obligations of confidentiality which the Director may have to the Company under general legal or equitable principles.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Code of Business Conduct and Ethics</w:t>
      </w:r>
      <w:r>
        <w:rPr>
          <w:rFonts w:ascii="Times New Roman;Times;Serif" w:hAnsi="Times New Roman;Times;Serif"/>
          <w:b w:val="false"/>
          <w:i w:val="false"/>
          <w:caps w:val="false"/>
          <w:smallCaps w:val="false"/>
          <w:sz w:val="20"/>
        </w:rPr>
        <w:t>. The Director agrees to abide by and follow all such procedures set forth in the Company’s code of business conduct and ethics, as may be in existence now or at any time during the term of this Agreement, and any other policy, code or document governing the conduct of directors of the Company as may be in existence now or at any time during the term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Upon submission of adequate documentation by the Director to the Company, the Director shall be reimbursed for all reasonable expenses incurred in connection with the Director’s positions as a member of the Board and for services as a member of each committee of the Board to which the Director may be appointed.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Indemnity</w:t>
      </w:r>
      <w:r>
        <w:rPr>
          <w:rFonts w:ascii="Times New Roman;Times;Serif" w:hAnsi="Times New Roman;Times;Serif"/>
          <w:b w:val="false"/>
          <w:i w:val="false"/>
          <w:caps w:val="false"/>
          <w:smallCaps w:val="false"/>
          <w:sz w:val="20"/>
        </w:rPr>
        <w:t>. The Company and the Director agree that indemnification with respect to the Director’s service on the Board shall be governed by that certain Indemnification Agreement attached as Exhibit A hereto (the “Indemnification Agreement”).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Withholding</w:t>
      </w:r>
      <w:r>
        <w:rPr>
          <w:rFonts w:ascii="Times New Roman;Times;Serif" w:hAnsi="Times New Roman;Times;Serif"/>
          <w:b w:val="false"/>
          <w:i w:val="false"/>
          <w:caps w:val="false"/>
          <w:smallCaps w:val="false"/>
          <w:sz w:val="20"/>
        </w:rPr>
        <w:t>. The Director agrees to cooperate with the Company to take all steps necessary or appropriate for the withholding of taxes by the Company required under law or regulation in connection herewith, and the Company may act unilaterally in order to comply with such laws.</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Binding Effect</w:t>
      </w:r>
      <w:r>
        <w:rPr>
          <w:rFonts w:ascii="Times New Roman;Times;Serif" w:hAnsi="Times New Roman;Times;Serif"/>
          <w:b w:val="false"/>
          <w:i w:val="false"/>
          <w:caps w:val="false"/>
          <w:smallCaps w:val="false"/>
          <w:sz w:val="20"/>
        </w:rPr>
        <w:t>. This Agreement shall be binding upon and inure to the benefit of the Company and its successors and assigns.</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Recitals</w:t>
      </w:r>
      <w:r>
        <w:rPr>
          <w:rFonts w:ascii="Times New Roman;Times;Serif" w:hAnsi="Times New Roman;Times;Serif"/>
          <w:b w:val="false"/>
          <w:i w:val="false"/>
          <w:caps w:val="false"/>
          <w:smallCaps w:val="false"/>
          <w:sz w:val="20"/>
        </w:rPr>
        <w:t>. The recitals to this Agreement are true and correct and are incorporated herein, in their entirety, by this reference.</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Validity</w:t>
      </w:r>
      <w:r>
        <w:rPr>
          <w:rFonts w:ascii="Times New Roman;Times;Serif" w:hAnsi="Times New Roman;Times;Serif"/>
          <w:b w:val="false"/>
          <w:i w:val="false"/>
          <w:caps w:val="false"/>
          <w:smallCaps w:val="false"/>
          <w:sz w:val="20"/>
        </w:rPr>
        <w:t>. The invalidity or unenforceability of any provision of this Agreement shall not affect the validity or enforceability of any other provision of this Agreement, which shall remain in full force and effect.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Headings and Captions</w:t>
      </w:r>
      <w:r>
        <w:rPr>
          <w:rFonts w:ascii="Times New Roman;Times;Serif" w:hAnsi="Times New Roman;Times;Serif"/>
          <w:b w:val="false"/>
          <w:i w:val="false"/>
          <w:caps w:val="false"/>
          <w:smallCaps w:val="false"/>
          <w:sz w:val="20"/>
        </w:rPr>
        <w:t>. The titles and captions of paragraphs and subparagraphs contained in this Agreement are provided for convenience of reference only, and shall not be considered terms or conditions of this Agreement.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Neutral Construction</w:t>
      </w:r>
      <w:r>
        <w:rPr>
          <w:rFonts w:ascii="Times New Roman;Times;Serif" w:hAnsi="Times New Roman;Times;Serif"/>
          <w:b w:val="false"/>
          <w:i w:val="false"/>
          <w:caps w:val="false"/>
          <w:smallCaps w:val="false"/>
          <w:sz w:val="20"/>
        </w:rPr>
        <w:t>. Neither party hereto may rely on any drafts of this Agreement in any interpretation of the Agreement. Both parties to this Agreement have reviewed this Agreement and have participated in its drafting and, accordingly, neither party shall attempt to invoke the normal rule of construction to the effect that ambiguities are to be resolved against the drafting party in any interpretation of this Agreement.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This Agreement may be executed in one or more counterparts, each of which shall be deemed to be an original and all of which together will constitute one and the same instrument.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rPr>
        <w:t>Miscellaneous</w:t>
      </w:r>
      <w:r>
        <w:rPr>
          <w:rFonts w:ascii="Times New Roman;Times;Serif" w:hAnsi="Times New Roman;Times;Serif"/>
          <w:b w:val="false"/>
          <w:i w:val="false"/>
          <w:caps w:val="false"/>
          <w:smallCaps w:val="false"/>
          <w:sz w:val="20"/>
        </w:rPr>
        <w:t>. This Agreement shall be construed under the laws of the State of New York, without application to the principles of conflicts of laws. This Agreement and the Indemnification Agreement constitute the entire understanding between the parties with respect to the Director’s service on the Board and there are no prior or contemporaneous written or oral agreements, understandings, or representations, express or implied, directly or indirectly related to this Agreement that are not set forth or referenced herein. This Agreement supersedes all negotiations, preliminary agreements, and all prior and contemporaneous discussions and understandings of the parties hereto and/or their affiliates with respect to the Director’s service on the Board. The Director acknowledges that he has not relied on any prior or contemporaneous discussions or understanding in entering into this Agreement. The terms and provisions of this Agreement may be altered, amended or discharged only by the signed written agreement of the parties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Independent Director Agreement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2689" w:type="dxa"/>
        <w:jc w:val="left"/>
        <w:tblInd w:w="0" w:type="dxa"/>
        <w:tblLayout w:type="fixed"/>
        <w:tblCellMar>
          <w:top w:w="0" w:type="dxa"/>
          <w:left w:w="0" w:type="dxa"/>
          <w:bottom w:w="0" w:type="dxa"/>
          <w:right w:w="0" w:type="dxa"/>
        </w:tblCellMar>
      </w:tblPr>
      <w:tblGrid>
        <w:gridCol w:w="75"/>
        <w:gridCol w:w="570"/>
        <w:gridCol w:w="2044"/>
      </w:tblGrid>
      <w:tr>
        <w:trPr/>
        <w:tc>
          <w:tcPr>
            <w:tcW w:w="75" w:type="dxa"/>
            <w:tcBorders/>
            <w:vAlign w:val="center"/>
          </w:tcPr>
          <w:p>
            <w:pPr>
              <w:pStyle w:val="TableContents"/>
              <w:bidi w:val="0"/>
              <w:spacing w:before="0" w:after="283"/>
              <w:jc w:val="left"/>
              <w:rPr/>
            </w:pPr>
            <w:r>
              <w:rPr/>
              <w:t> </w:t>
            </w:r>
          </w:p>
        </w:tc>
        <w:tc>
          <w:tcPr>
            <w:tcW w:w="261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Etoiles Capital Group Co., Ltd</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4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5760" w:right="0" w:hanging="0"/>
        <w:jc w:val="left"/>
        <w:rPr>
          <w:caps w:val="false"/>
          <w:smallCaps w:val="false"/>
        </w:rPr>
      </w:pPr>
      <w:r>
        <w:rPr>
          <w:caps w:val="false"/>
          <w:smallCaps w:val="false"/>
        </w:rPr>
        <w:t> </w:t>
      </w:r>
    </w:p>
    <w:tbl>
      <w:tblPr>
        <w:tblW w:w="1725" w:type="dxa"/>
        <w:jc w:val="left"/>
        <w:tblInd w:w="0" w:type="dxa"/>
        <w:tblLayout w:type="fixed"/>
        <w:tblCellMar>
          <w:top w:w="0" w:type="dxa"/>
          <w:left w:w="0" w:type="dxa"/>
          <w:bottom w:w="0" w:type="dxa"/>
          <w:right w:w="0" w:type="dxa"/>
        </w:tblCellMar>
      </w:tblPr>
      <w:tblGrid>
        <w:gridCol w:w="140"/>
        <w:gridCol w:w="545"/>
        <w:gridCol w:w="1040"/>
      </w:tblGrid>
      <w:tr>
        <w:trPr/>
        <w:tc>
          <w:tcPr>
            <w:tcW w:w="140" w:type="dxa"/>
            <w:tcBorders/>
            <w:vAlign w:val="center"/>
          </w:tcPr>
          <w:p>
            <w:pPr>
              <w:pStyle w:val="TableContents"/>
              <w:bidi w:val="0"/>
              <w:spacing w:before="0" w:after="283"/>
              <w:jc w:val="left"/>
              <w:rPr/>
            </w:pPr>
            <w:r>
              <w:rPr/>
              <w:t> </w:t>
            </w:r>
          </w:p>
        </w:tc>
        <w:tc>
          <w:tcPr>
            <w:tcW w:w="15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w:t>
            </w:r>
          </w:p>
        </w:tc>
      </w:tr>
      <w:tr>
        <w:trPr/>
        <w:tc>
          <w:tcPr>
            <w:tcW w:w="140" w:type="dxa"/>
            <w:tcBorders/>
            <w:vAlign w:val="center"/>
          </w:tcPr>
          <w:p>
            <w:pPr>
              <w:pStyle w:val="TableContents"/>
              <w:bidi w:val="0"/>
              <w:spacing w:before="0" w:after="283"/>
              <w:jc w:val="left"/>
              <w:rPr/>
            </w:pPr>
            <w:r>
              <w:rPr/>
              <w:t> </w:t>
            </w:r>
          </w:p>
        </w:tc>
        <w:tc>
          <w:tcPr>
            <w:tcW w:w="1585" w:type="dxa"/>
            <w:gridSpan w:val="2"/>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pPr>
            <w:r>
              <w:rPr/>
              <w:t> </w:t>
            </w:r>
          </w:p>
        </w:tc>
        <w:tc>
          <w:tcPr>
            <w:tcW w:w="158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Nancy Yang</w:t>
            </w:r>
          </w:p>
        </w:tc>
      </w:tr>
    </w:tbl>
    <w:p>
      <w:pPr>
        <w:pStyle w:val="TextBody"/>
        <w:bidi w:val="0"/>
        <w:spacing w:before="0" w:after="0"/>
        <w:ind w:left="64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Independent Director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AGREEMENT</w:t>
        <w:br/>
        <w:t>(Attached)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INDEMNIFICATION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INDEMNIFICATION AGREEMENT </w:t>
      </w:r>
      <w:r>
        <w:rPr>
          <w:rFonts w:ascii="Times New Roman;Times;Serif" w:hAnsi="Times New Roman;Times;Serif"/>
          <w:b w:val="false"/>
          <w:i w:val="false"/>
          <w:caps w:val="false"/>
          <w:smallCaps w:val="false"/>
          <w:sz w:val="20"/>
        </w:rPr>
        <w:t xml:space="preserve">(this “Agreement”), dated as of August 1, 2026, is by and between </w:t>
      </w:r>
      <w:r>
        <w:rPr>
          <w:rFonts w:ascii="Times New Roman;Times;Serif" w:hAnsi="Times New Roman;Times;Serif"/>
          <w:b/>
          <w:i w:val="false"/>
          <w:caps w:val="false"/>
          <w:smallCaps w:val="false"/>
          <w:sz w:val="20"/>
        </w:rPr>
        <w:t>Etoiles Capital Group Co., Ltd</w:t>
      </w:r>
      <w:r>
        <w:rPr>
          <w:rFonts w:ascii="Times New Roman;Times;Serif" w:hAnsi="Times New Roman;Times;Serif"/>
          <w:b w:val="false"/>
          <w:i w:val="false"/>
          <w:caps w:val="false"/>
          <w:smallCaps w:val="false"/>
          <w:sz w:val="20"/>
        </w:rPr>
        <w:t>, a company incorporated under the laws of the Cayman Islands (the “Company”) and Nancy Yang (the “Indemnitee”) and shall become effective on the date this Agreement (the “Effective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Indemnitee is a director or officer of the Company and in such capacity renders valuable services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both the Company and Indemnitee recognize the increased risk of litigation and other claims being asserted against directors and officers of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the Company (the “Board”) has determined that enhancing the ability of the Company to retain and attract as directors and officers the most capable persons is in the best interests of the Company and that the Company therefore should seek to assure such persons that indemnification is available;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recognition of the need to provide Indemnitee with substantial protection against personal liability, in order to procure Indemnitee’s continued service as a director or officer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Memorandum and Articles of Association (collectively, the “Constituent Documents”), any change in the composition of the Board or any change in control or business combination transaction relating to the Company), the Company wishes to provide in this Agreement for the indemnification of, and the advancement of Expenses (as defined in Section 1 below) to, Indemnitee as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Indemnitee’s agreement to continue to provide services to the Company, the parties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AGREEMENT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For purposes of this Agreement, the following terms shall have the following meanings: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has the meaning given to the term “beneficial owner” in Rule 13d-3 under the Securities Exchange Act of 1934, as amended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occurrence after the Effective Date of any of the following events: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Person is or becomes the Beneficial Owner, directly or indirectly, of securities of the Company representing 51% or more of the Company’s then outstanding Voting Securities;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consummation of a reorganization, merger or consolidation, unless immediately following such reorganization, merger or consolidation, all of the Beneficial Owners of the Voting Securities of the Company immediately prior to such transaction beneficially own, directly or indirectly, more than 51% of the combined voting power of the outstanding Voting Securities of the entity resulting from such transaction;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during any period of two consecutive years, not including any period prior to the execution of this Agreement, individuals who at the beginning of such period constituted the Board (including for this purpose any new directors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Board;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stockholders of the Company approve a plan of complete liquidation or dissolution of the Company or an agreement for the sale or disposition by the Company of all or substantially all of the Company’s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Claim</w:t>
      </w:r>
      <w:r>
        <w:rPr>
          <w:rFonts w:ascii="Times New Roman;Times;Serif" w:hAnsi="Times New Roman;Times;Serif"/>
          <w:b w:val="false"/>
          <w:i w:val="false"/>
          <w:caps w:val="false"/>
          <w:smallCaps w:val="false"/>
          <w:sz w:val="20"/>
        </w:rPr>
        <w:t>” means: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threatened, pending or completed action, suit, proceeding or alternative dispute resolution mechanism, whether civil, criminal, administrative, arbitrative, investigative or other, and whether made pursuant to federal, state or other law;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inquiry, hearing or investigation that the Indemnitee determines might lead to the institution of any such action, suit, proceeding or alternative dispute resolution mechanism.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Disinterested Director</w:t>
      </w:r>
      <w:r>
        <w:rPr>
          <w:rFonts w:ascii="Times New Roman;Times;Serif" w:hAnsi="Times New Roman;Times;Serif"/>
          <w:b w:val="false"/>
          <w:i w:val="false"/>
          <w:caps w:val="false"/>
          <w:smallCaps w:val="false"/>
          <w:sz w:val="20"/>
        </w:rPr>
        <w:t>” means a director of the Company who is not and was not a party to the Claim in respect of which indemnification is sought by Indemnitee.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means any and all expenses, including attorneys’ and experts’ fees, court costs, transcript costs, travel expenses, duplicating, printing and binding costs, telephone charges, and all other costs and expenses incurred in connection with investigating, defending, being a witness in or participating in (including on appeal), or preparing to defend, be a witness or participate in, any Claim. Expenses also shall include (i) Expenses incurred in connection with any appeal resulting from any Claim, including without limitation the premium, security for, and other costs relating to any cost bond, supersede as bond, or other appeal bond or its equivalent, and (ii) for purposes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Expense Advance</w:t>
      </w:r>
      <w:r>
        <w:rPr>
          <w:rFonts w:ascii="Times New Roman;Times;Serif" w:hAnsi="Times New Roman;Times;Serif"/>
          <w:b w:val="false"/>
          <w:i w:val="false"/>
          <w:caps w:val="false"/>
          <w:smallCaps w:val="false"/>
          <w:sz w:val="20"/>
        </w:rPr>
        <w:t xml:space="preserve">” means any payment of Expenses advanced to Indemnitee by the Company pursuant to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Indemnifiable Event</w:t>
      </w:r>
      <w:r>
        <w:rPr>
          <w:rFonts w:ascii="Times New Roman;Times;Serif" w:hAnsi="Times New Roman;Times;Serif"/>
          <w:b w:val="false"/>
          <w:i w:val="false"/>
          <w:caps w:val="false"/>
          <w:smallCaps w:val="false"/>
          <w:sz w:val="20"/>
        </w:rPr>
        <w:t>” means any event or occurrence, whether occurring before, on or after the Effective Date, related to the fact that Indemnitee is or was a director, officer, employee or agent of the Company or any subsidiary of the Company, or is or was serving at the request of the Company as a director, officer, employee, member, manager, trustee or agent of any other corporation, limited liability company, partnership, joint venture, trust or other entity or enterprise (collectively with the Company, “Enterprise”) or by reason of an action or inaction by Indemnitee in any such capacity (whether or not serving in such capacity at the time any Loss is incurred for which indemnification can be provided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Independent Counsel</w:t>
      </w:r>
      <w:r>
        <w:rPr>
          <w:rFonts w:ascii="Times New Roman;Times;Serif" w:hAnsi="Times New Roman;Times;Serif"/>
          <w:b w:val="false"/>
          <w:i w:val="false"/>
          <w:caps w:val="false"/>
          <w:smallCaps w:val="false"/>
          <w:sz w:val="20"/>
        </w:rPr>
        <w:t>” means a law firm, or a member of a law firm, that is experienced in matters of corporation law and neither presently performs, nor in the past five years has performed, services for either: (i) the Company or Indemnitee (other than in connection with matters concerning Indemnitee under this Agreement or of other indemnitees under similar agreements) or (ii) any other party to the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means any and all Expenses, damages, losses, liabilities, judgments, fines, penalties (whether civil, criminal or other), ERISA excise taxes, amounts paid or payable in settlement, including any interest, assessments, any federal, state, local or foreign taxes imposed as a result of the actual or deemed receipt of any payments under this Agreement and all other charges paid or payable in connection with investigating, defending, being a witness in or participating in (including on appeal), or preparing to defend, be a witness or participate in, any Claim.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firm, partnership, joint venture, limited liability company, estate, trust, business association, organization, governmental entity or other entity and includes the meaning set forth in Sections 13(d) and 14(d) of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Standard of Conduct Determination</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(b)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Voting Securities</w:t>
      </w:r>
      <w:r>
        <w:rPr>
          <w:rFonts w:ascii="Times New Roman;Times;Serif" w:hAnsi="Times New Roman;Times;Serif"/>
          <w:b w:val="false"/>
          <w:i w:val="false"/>
          <w:caps w:val="false"/>
          <w:smallCaps w:val="false"/>
          <w:sz w:val="20"/>
        </w:rPr>
        <w:t>” means any securities of the Company that vote generally in the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Indemnification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of this Agreement, the Company shall indemnify Indemnitee, to the fullest extent permitted by the laws of the State of New York in effect on the Effective Date, or as such laws may from time to time hereafter be amended to increase the scope of such permitted indemnification, against any and all Losses if Indemnitee was or is or becomes a party to or participant in, or is threatened to be made a party to or participant in, any Claim by reason of or arising in part out of an Indemnifiable Event, including, without limitation, Claims brought by or in the right of the Company, Claims brought by third parties, and Claims in which the Indemnitee is solely a witness.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Advancement of Expenses</w:t>
      </w:r>
      <w:r>
        <w:rPr>
          <w:rFonts w:ascii="Times New Roman;Times;Serif" w:hAnsi="Times New Roman;Times;Serif"/>
          <w:b w:val="false"/>
          <w:i w:val="false"/>
          <w:caps w:val="false"/>
          <w:smallCaps w:val="false"/>
          <w:sz w:val="20"/>
        </w:rPr>
        <w:t>. Indemnitee shall have the right to advancement by the Company, prior to the final disposition of any Claim by final adjudication to which there are no further rights of appeal, of any and all Expenses actually and reasonably paid or incurred by Indemnitee in connection with any Claim arising out of an Indemnifiable Event at the written request of Indemnitee. Indemnitee shall set forth in such request reasonable evidence that such Expenses have been paid or incurred by Indemnitee. Indemnitee’s right to such advancement is not subject to the satisfaction of any standard of conduct. Without limiting the generality or effect of the foregoing, within thirty days after any request by Indemnitee, the Company shall, in accordance with such request, (a) pay such Expenses on behalf of Indemnitee, (b) advance to Indemnitee funds in an amount sufficient to pay such Expenses, or (c) reimburse Indemnitee for such Expenses. In connection with any request for Expense Advances, Indemnitee shall not be required to provide any documentation or information to the extent that the provision thereof would undermine or otherwise jeopardize attorney-client privilege. The Company’s obligation to pay Expense Advances to Indemnitee is contingent upon Indemnitee’s execution and delivery to the Company of an undertaking to repay any amounts paid, advanced, or reimbursed by the Company for such Expenses to the extent that it is ultimately determined, following the final disposition of such Claim, that Indemnitee is not entitled to indemnification hereunder. Indemnitee’s obligation to reimburse the Company for Expense Advances shall be unsecured and no interest shall be charged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Indemnification for Expenses in Enforcing Rights</w:t>
      </w:r>
      <w:r>
        <w:rPr>
          <w:rFonts w:ascii="Times New Roman;Times;Serif" w:hAnsi="Times New Roman;Times;Serif"/>
          <w:b w:val="false"/>
          <w:i w:val="false"/>
          <w:caps w:val="false"/>
          <w:smallCaps w:val="false"/>
          <w:sz w:val="20"/>
        </w:rPr>
        <w:t xml:space="preserve">. To the fullest extent allowable under applicable law, the Company shall also indemnify Indemnitee against, and, if requested by Indemnitee, shall advance to Indemnitee subject to and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any Expenses actually and reasonably paid or incurred by Indemnitee in connection with any action or proceeding by Indemnitee for (a) indemnification or reimbursement or advance payment of Expenses by the Company under any provision of this Agreement, or under any other agreement or provision of the Constituent Documents now or hereafter in effect relating to Claims relating to Indemnifiable Events, and/or (b) recovery under any directors’ and officers’ liability insurance policies maintained by the Company. However, in the event that Indemnitee is ultimately determined not to be entitled to such indemnification or insurance recovery, as the case may be, then all amounts advanced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repaid.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Partial Indemnity</w:t>
      </w:r>
      <w:r>
        <w:rPr>
          <w:rFonts w:ascii="Times New Roman;Times;Serif" w:hAnsi="Times New Roman;Times;Serif"/>
          <w:b w:val="false"/>
          <w:i w:val="false"/>
          <w:caps w:val="false"/>
          <w:smallCaps w:val="false"/>
          <w:sz w:val="20"/>
        </w:rPr>
        <w:t>. If Indemnitee is entitled under any provision of this Agreement to indemnification by the Company for a portion of any Losses in respect of a Claim related to an Indemnifiable Event but not for the total amount thereof, the Company shall nevertheless indemnify Indemnitee for the portion thereof to which Indemnitee is entitled.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Notification and Defense of Claims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Notification of Claims</w:t>
      </w:r>
      <w:r>
        <w:rPr>
          <w:rFonts w:ascii="Times New Roman;Times;Serif" w:hAnsi="Times New Roman;Times;Serif"/>
          <w:b w:val="false"/>
          <w:i w:val="false"/>
          <w:caps w:val="false"/>
          <w:smallCaps w:val="false"/>
          <w:sz w:val="20"/>
        </w:rPr>
        <w:t>. Indemnitee shall notify the Company in writing as soon as practicable of any Claim which could relate to an Indemnifiable Event or for which Indemnitee could seek Expense Advances, including a brief description (based upon information then available to Indemnitee) of the nature of, and the facts underlying, such Claim. The failure by Indemnitee to timely notify the Company hereunder shall not relieve the Company from any liability hereunder unless the Company’s ability to participate in the defense of such claim was materially and adversely affected by such failure. If at the time of the receipt of such notice, the Company has directors’ and officers’ liability insurance in effect under which coverage for Claims related to Indemnifiable Events is potentially available, the Company shall give prompt written notice to the applicable insurers in accordance with the procedures set forth in the applicable policies. The Company shall provide to Indemnitee a copy of such notice delivered to the applicable insurers, and copies of all subsequent correspondence between the Company and such insurers regarding the Claim, in each case substantially concurrently with the delivery or receipt thereof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Defense of Claims</w:t>
      </w:r>
      <w:r>
        <w:rPr>
          <w:rFonts w:ascii="Times New Roman;Times;Serif" w:hAnsi="Times New Roman;Times;Serif"/>
          <w:b w:val="false"/>
          <w:i w:val="false"/>
          <w:caps w:val="false"/>
          <w:smallCaps w:val="false"/>
          <w:sz w:val="20"/>
        </w:rPr>
        <w:t>. The Company shall be entitled to participate in the defense of any Claim relating to an Indemnifiable Event at its own expense and, except as otherwise provided below, to the extent the Company so wishes, it may assume the defense thereof with counsel reasonably satisfactory to Indemnitee. After notice from the Company to Indemnitee of its election to assume the defense of any such Claim,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 Claim, but all Expenses related to such counsel incurred after notice from the Company of its assumption of the defense shall be at Indemnitee’s own expense; provided, however, that if (i) Indemnitee’s employment of its own legal counsel has been authorized by the Company, (ii) Indemnitee has reasonably determined that there may be a conflict of interest between Indemnitee and the Company in the defense of such Claim, (iii) after a Change in Control, Indemnitee’s employment of its own counsel has been approved by the Independent Counsel or (iv) the Company shall not in fact have employed counsel to assume the defense of such Claim, then Indemnitee shall be entitled to retain its own separate counsel (but not more than one law firm) and all Expenses related to such separate counsel shall be borne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Procedure upon Application for Indemnification</w:t>
      </w:r>
      <w:r>
        <w:rPr>
          <w:rFonts w:ascii="Times New Roman;Times;Serif" w:hAnsi="Times New Roman;Times;Serif"/>
          <w:b w:val="false"/>
          <w:i w:val="false"/>
          <w:caps w:val="false"/>
          <w:smallCaps w:val="false"/>
          <w:sz w:val="20"/>
        </w:rPr>
        <w:t xml:space="preserve">. In order to obtain indemnification pursuant to this Agreement, Indemnitee shall submit to the Company a written request therefor, including in such request such documentation and information as is reasonably available to Indemnitee and is reasonably necessary to determine whether and to what extent Indemnitee is entitled to indemnification following the final disposition of the Claim. Indemnification shall be made insofar as the Company determines Indemnitee is entitled to indemnification in accordance with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Determination of Right to Indemnification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Mandatory Indemnification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the extent that Indemnitee shall have been successful on the merits or otherwise in defense of any Claim relating to an Indemnifiable Event or any portion thereof or in defense of any issue or matter therein, including without limitation dismissal without prejudice, Indemnitee shall be indemnified against all Losses relating to such Claim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to the fullest extent allowable by law, and no Standard of Conduct Determination (as defined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(b)) shall be required.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the extent that Indemnitee’s involvement in a Claim relating to an Indemnifiable Event is to prepare to serve and serve as a witness, and not as a party, the Indemnitee shall be indemnified against all Losses incurred in connection therewith to the fullest extent allowable by law and no Standard of Conduct Determination (as defined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(b)) shall be required.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Standard of Conduct</w:t>
      </w:r>
      <w:r>
        <w:rPr>
          <w:rFonts w:ascii="Times New Roman;Times;Serif" w:hAnsi="Times New Roman;Times;Serif"/>
          <w:b w:val="false"/>
          <w:i w:val="false"/>
          <w:caps w:val="false"/>
          <w:smallCaps w:val="false"/>
          <w:sz w:val="20"/>
        </w:rPr>
        <w:t xml:space="preserve">. To the extent that the provisions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(a) are inapplicable to a Claim related to an Indemnifiable Event that shall have been finally disposed of, any determination of whether Indemnitee has satisfied any applicable standard of conduct under New York law that is a legally required condition to indemnification of Indemnitee hereunder against Losses relating to such Claim and any determination that Expense Advances must be repaid to the Company (a “Standard of Conduct Determination”) shall be made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no Change in Control has occurred, (A) by a majority vote of the Disinterested Directors, even if less than a quorum of the Board, (B) by a committee of Disinterested Directors designated by a majority vote of the Disinterested Directors, even though less than a quorum or (C) if there are no such Disinterested Directors, by Independent Counsel in a written opinion addressed to the Board, a copy of which shall be delivered to Indemnitee;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Change in Control shall have occurred, (A) if the Indemnitee so requests in writing, by a majority vote of the Disinterested Directors, even if less than a quorum of the Board or (B) otherwise, by Independent Counsel in a written opinion addressed to the Board, a copy of which shall be delivered to Indemnitee.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Making the Standard of Conduct Determination</w:t>
      </w:r>
      <w:r>
        <w:rPr>
          <w:rFonts w:ascii="Times New Roman;Times;Serif" w:hAnsi="Times New Roman;Times;Serif"/>
          <w:b w:val="false"/>
          <w:i w:val="false"/>
          <w:caps w:val="false"/>
          <w:smallCaps w:val="false"/>
          <w:sz w:val="20"/>
        </w:rPr>
        <w:t xml:space="preserve">. The Company shall use its reasonable best efforts to cause any Standard of Conduct Determination required under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(b) to be made as promptly as practicable. If the person or persons designated to make the Standard of Conduct Determination under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(b) shall not have made a determination within thirty days after the later of (A) receipt by the Company of a written request from Indemnitee for indemnification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(the date of such receipt being the “Notification Date”) and (B) the selection of an Independent Counsel, if such determination is to be made by Independent Counsel, then Indemnitee shall be deemed to have satisfied the applicable standard of conduct; provided that such 30-day period may be extended for a reasonable time, if the person or persons making such determination in good faith requires such additional time to obtain or evaluate information relating thereto. Notwithstanding anything in this Agreement to the contrary, no determination as to entitlement of Indemnitee to indemnification under this Agreement shall be required to be made prior to the final disposition of any Claim.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Payment of Indemnification</w:t>
      </w:r>
      <w:r>
        <w:rPr>
          <w:rFonts w:ascii="Times New Roman;Times;Serif" w:hAnsi="Times New Roman;Times;Serif"/>
          <w:b w:val="false"/>
          <w:i w:val="false"/>
          <w:caps w:val="false"/>
          <w:smallCaps w:val="false"/>
          <w:sz w:val="20"/>
        </w:rPr>
        <w:t>. If, in regard to any Losses: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Indemnitee shall be entitled to indemnification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Standard Conduct Determination is legally required as a condition to indemnification of Indemnitee hereunder;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Indemnitee has been determined or deemed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(b) or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(c) to have satisfied the Standard of Conduct Determination,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Company shall pay to Indemnitee, within thirty days after the later of (A) the Notification Date or (B) the earliest date on which the applicable criterion specified in clause (i), (ii) or (iii) is satisfied, an amount equal to such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Selection of Independent Counsel for Standard of Conduct Determination</w:t>
      </w:r>
      <w:r>
        <w:rPr>
          <w:rFonts w:ascii="Times New Roman;Times;Serif" w:hAnsi="Times New Roman;Times;Serif"/>
          <w:b w:val="false"/>
          <w:i w:val="false"/>
          <w:caps w:val="false"/>
          <w:smallCaps w:val="false"/>
          <w:sz w:val="20"/>
        </w:rPr>
        <w:t xml:space="preserve">. If a Standard of Conduct Determination is to be made by Independent Counsel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(b)(i), the Independent Counsel shall be selected by the Board, and the Company shall give written notice to Indemnitee advising of the identity of the Independent Counsel so selected. If a Standard of Conduct Determination is to be made by Independent Counsel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(b)(ii), the Independent Counsel shall be selected by Indemnitee, and Indemnitee shall give written notice to the Company advising it of the identity of the Independent Counsel so selected. In either case, Indemnitee or the Company, as applicable, may, within five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and the objection shall set forth with particularity the factual basis of such assertion. Absent a proper and timely objection, the person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the introductory clause of this sentence and numbered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(e) to make the Standard of Conduct Determination shall have been selected within twenty days after the Company gives its initial notice pursuant to the first sentence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(e) or Indemnitee gives its initial notice pursuant to the second sentence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(e), as the case may be, either the Company or Indemnitee may petition a court of competent jurisdiction to resolve any objection which shall have been made by the Company or Indemnitee to the other’s selection of Independent Counsel and/or to appoint as Independent Counsel a person to be selected by such court or such other person as the court shall designate, and the person or firm 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Presumptions and Defenses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Indemnitee’s Entitlement to Indemnification</w:t>
      </w:r>
      <w:r>
        <w:rPr>
          <w:rFonts w:ascii="Times New Roman;Times;Serif" w:hAnsi="Times New Roman;Times;Serif"/>
          <w:b w:val="false"/>
          <w:i w:val="false"/>
          <w:caps w:val="false"/>
          <w:smallCaps w:val="false"/>
          <w:sz w:val="20"/>
        </w:rPr>
        <w:t>. In making any Standard of Conduct Determination, the person or persons making such determination shall presume that Indemnitee has satisfied the applicable standard of conduct and is entitled to indemnification, and the Company shall have the burden of proof to overcome that presumption and establish that Indemnitee is not so entitled. Any Standard of Conduct Determination that is adverse to Indemnitee may be challenged by the Indemnitee in a court of competent jurisdiction. No determination by the Company (including by its directors or any Independent Counsel) that Indemnitee has not satisfied any applicable standard of conduct may be used as a defense to any legal proceedings brought by Indemnitee to secure indemnification or reimbursement or advance payment of Expenses by the Company hereunder or create a presumption that Indemnitee has not met any applicable standard of conduct.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Reliance as a Safe Harbor</w:t>
      </w:r>
      <w:r>
        <w:rPr>
          <w:rFonts w:ascii="Times New Roman;Times;Serif" w:hAnsi="Times New Roman;Times;Serif"/>
          <w:b w:val="false"/>
          <w:i w:val="false"/>
          <w:caps w:val="false"/>
          <w:smallCaps w:val="false"/>
          <w:sz w:val="20"/>
        </w:rPr>
        <w:t>. For purposes of this Agreement, and 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No Other Presumptions</w:t>
      </w:r>
      <w:r>
        <w:rPr>
          <w:rFonts w:ascii="Times New Roman;Times;Serif" w:hAnsi="Times New Roman;Times;Serif"/>
          <w:b w:val="false"/>
          <w:i w:val="false"/>
          <w:caps w:val="false"/>
          <w:smallCaps w:val="false"/>
          <w:sz w:val="20"/>
        </w:rPr>
        <w:t>. For purposes of this Agreement, the termination of any Claim by judgment, order, settlement (whether with or without court approval) or conviction, or upon a plea of nolo contendere or its equivalent, will not create a presumption that Indemnitee did not meet any applicable standard of conduct or have any particular belief, or that indemnification hereunder is otherwise not permitted.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Defense to Indemnification and Burden of Proof</w:t>
      </w:r>
      <w:r>
        <w:rPr>
          <w:rFonts w:ascii="Times New Roman;Times;Serif" w:hAnsi="Times New Roman;Times;Serif"/>
          <w:b w:val="false"/>
          <w:i w:val="false"/>
          <w:caps w:val="false"/>
          <w:smallCaps w:val="false"/>
          <w:sz w:val="20"/>
        </w:rPr>
        <w:t>. It shall be a defense to any action brought by Indemnitee against the Company to enforce this Agreement (other than an action brought to enforce a claim for Losses incurred in defending against a Claim related to an Indemnifiable Event in advance of its final disposition) that it is not permissible under applicable law for the Company to indemnify Indemnitee for the amount claimed. In connection with any such action or any related Standard of Conduct Determination, the burden of proving such a defense or that the Indemnitee did not satisfy the applicable standard of conduct shall be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Resolution of Claims</w:t>
      </w:r>
      <w:r>
        <w:rPr>
          <w:rFonts w:ascii="Times New Roman;Times;Serif" w:hAnsi="Times New Roman;Times;Serif"/>
          <w:b w:val="false"/>
          <w:i w:val="false"/>
          <w:caps w:val="false"/>
          <w:smallCaps w:val="false"/>
          <w:sz w:val="20"/>
        </w:rPr>
        <w:t xml:space="preserve">. The Company acknowledges that a settlement or other disposition short of final judgment may be successful on the merits or otherwise for purposes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(a)(i) if it permits a party to avoid expense, delay, distraction, disruption and uncertainty. In the event that any Claim relating to an Indemnifiable Event to which Indemnitee is a party is resolved in any manner other than by adverse judgment against Indemnitee (including, without limitation, settlement of such action, claim or proceeding with our without payment of money or other consideration) it shall be presumed that Indemnitee has been successful on the merits or otherwise for purposes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(a)(i). The Company shall have the burden of proof to overcome this presumption.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Exclusions from Indemnification</w:t>
      </w:r>
      <w:r>
        <w:rPr>
          <w:rFonts w:ascii="Times New Roman;Times;Serif" w:hAnsi="Times New Roman;Times;Serif"/>
          <w:b w:val="false"/>
          <w:i w:val="false"/>
          <w:caps w:val="false"/>
          <w:smallCaps w:val="false"/>
          <w:sz w:val="20"/>
        </w:rPr>
        <w:t>. Notwithstanding anything in this Agreement to the contrary, the Company shall not be obligated 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indemnify or advance funds to Indemnitee for Expenses or Losses with respect to proceedings initiated by Indemnitee, including any proceedings against the Company or its directors, officers, employees or other indemnitees and not by way of defense, except: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proceedings referenced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above (unless a court of competent jurisdiction determines that each of the material assertions made by Indemnitee in such proceeding was not made in good faith or was frivolous);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where the Company has joined in or the Board has consented to the initiation of such proceedings;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indemnify Indemnitee if a final decision by a court of competent jurisdiction determines that such indemnification is prohibited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indemnify Indemnitee for the disgorgement of profits arising from the purchase or sale by Indemnitee of securities of the Company in violation of Section 16(b) of the Exchange Act, or any similar successor statute;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indemnify or advance funds to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in connection with an accounting restatement of the Company or the payment to the Company of profits arising from the purchase or sale by Indemnitee of securities in violation of Section 306 of the Sarbanes-Oxley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Settlement of Claims</w:t>
      </w:r>
      <w:r>
        <w:rPr>
          <w:rFonts w:ascii="Times New Roman;Times;Serif" w:hAnsi="Times New Roman;Times;Serif"/>
          <w:b w:val="false"/>
          <w:i w:val="false"/>
          <w:caps w:val="false"/>
          <w:smallCaps w:val="false"/>
          <w:sz w:val="20"/>
        </w:rPr>
        <w:t>. The Company shall not be liable to Indemnitee under this Agreement for any amounts paid in settlement of any threatened or pending Claim related to an Indemnifiable Event effected without the Company’s prior written consent, which shall not be unreasonably withheld. The Company shall not settle any Claim related to an Indemnifiable Event in any manner that would impose any Losses on the Indemnitee without the Indemnitee’s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Duration</w:t>
      </w:r>
      <w:r>
        <w:rPr>
          <w:rFonts w:ascii="Times New Roman;Times;Serif" w:hAnsi="Times New Roman;Times;Serif"/>
          <w:b w:val="false"/>
          <w:i w:val="false"/>
          <w:caps w:val="false"/>
          <w:smallCaps w:val="false"/>
          <w:sz w:val="20"/>
        </w:rPr>
        <w:t>. All agreements and obligations of the Company contained herein shall continue during the period that Indemnitee is a director or officer of the Company (or is serving at the request of the Company as a director, officer, employee, member, trustee or agent of another Enterprise) and shall continue thereafter (i) so long as Indemnitee may be subject to any possible Claim relating to an Indemnifiable Event (including any rights of appeal thereto) and (ii)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Non-Exclusivity</w:t>
      </w:r>
      <w:r>
        <w:rPr>
          <w:rFonts w:ascii="Times New Roman;Times;Serif" w:hAnsi="Times New Roman;Times;Serif"/>
          <w:b w:val="false"/>
          <w:i w:val="false"/>
          <w:caps w:val="false"/>
          <w:smallCaps w:val="false"/>
          <w:sz w:val="20"/>
        </w:rPr>
        <w:t>. The rights of Indemnitee hereunder will be in addition to any other rights Indemnitee may have under the Constituent Documents, the New York Business Corporation Law, any other contract or otherwise (collectively, “Other Indemnity Provisions”); provided, however, that (a) to the extent that Indemnitee otherwise would have any greater right to indemnification under any Other Indemnity Provision, Indemnitee will be deemed to have such greater right hereunder and (b) to the extent that any change is made to any Other Indemnity Provision which permits any greater right to indemnification than that provided under this Agreement as of the Effective Date, Indemnitee will be deemed to have such greater right hereunder.</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Liability Insurance</w:t>
      </w:r>
      <w:r>
        <w:rPr>
          <w:rFonts w:ascii="Times New Roman;Times;Serif" w:hAnsi="Times New Roman;Times;Serif"/>
          <w:b w:val="false"/>
          <w:i w:val="false"/>
          <w:caps w:val="false"/>
          <w:smallCaps w:val="false"/>
          <w:sz w:val="20"/>
        </w:rPr>
        <w:t>. The Company shall from time to time make the good faith determination whether or not it is practicable for the Company to obtain and maintain a policy or policies of insurance providing the officers and directors of the Company with coverage for losses incurred in connection with their services to the Company or to ensure the Company’s performance of its indemnification obligations under this Agreement. To the extent the Company maintains an insurance policy or policies providing directors’ and officers’ liability insurance, Indemnitee shall be covered by such policy or policies, in accordance with its or their terms, to the maximum extent of the coverage available for any of the Company’s directors or officers, as applicable. Upon reasonable request, the Company will provide to Indemnitee copies of all directors’ and officers’ liability insurance applications, binders, policies, declarations and endorsements.</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No Duplication of Payments</w:t>
      </w:r>
      <w:r>
        <w:rPr>
          <w:rFonts w:ascii="Times New Roman;Times;Serif" w:hAnsi="Times New Roman;Times;Serif"/>
          <w:b w:val="false"/>
          <w:i w:val="false"/>
          <w:caps w:val="false"/>
          <w:smallCaps w:val="false"/>
          <w:sz w:val="20"/>
        </w:rPr>
        <w:t>. The Company shall not be liable under this Agreement to make any payment to Indemnitee in respect of any Losses to the extent Indemnitee has otherwise received payment under any insurance policy, the Constituent Documents, Other Indemnity Provisions or otherwise of the amounts otherwise indemnifiable by the Company hereunder.</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Subrogation</w:t>
      </w:r>
      <w:r>
        <w:rPr>
          <w:rFonts w:ascii="Times New Roman;Times;Serif" w:hAnsi="Times New Roman;Times;Serif"/>
          <w:b w:val="false"/>
          <w:i w:val="false"/>
          <w:caps w:val="false"/>
          <w:smallCaps w:val="false"/>
          <w:sz w:val="20"/>
        </w:rPr>
        <w:t>. In the event of payment to Indemnitee under this Agreement, the Company shall be subrogated to the extent of such payment to all of the rights of recovery of Indemnitee. Indemnitee shall execute all documents required and shall do everything that may be necessary to secure such rights, including the execution of such documents necessary to enable the Company effectively to bring suit to enforce such rights.</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Amendments</w:t>
      </w:r>
      <w:r>
        <w:rPr>
          <w:rFonts w:ascii="Times New Roman;Times;Serif" w:hAnsi="Times New Roman;Times;Serif"/>
          <w:b w:val="false"/>
          <w:i w:val="false"/>
          <w:caps w:val="false"/>
          <w:smallCaps w:val="false"/>
          <w:sz w:val="20"/>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Binding Effect</w:t>
      </w:r>
      <w:r>
        <w:rPr>
          <w:rFonts w:ascii="Times New Roman;Times;Serif" w:hAnsi="Times New Roman;Times;Serif"/>
          <w:b w:val="false"/>
          <w:i w:val="false"/>
          <w:caps w:val="false"/>
          <w:smallCaps w:val="false"/>
          <w:sz w:val="20"/>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to assume and agree to perform this Agreement in the same manner and to the same extent that the Company would be required to perform if no such succession had taken place.</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Severability</w:t>
      </w:r>
      <w:r>
        <w:rPr>
          <w:rFonts w:ascii="Times New Roman;Times;Serif" w:hAnsi="Times New Roman;Times;Serif"/>
          <w:b w:val="false"/>
          <w:i w:val="false"/>
          <w:caps w:val="false"/>
          <w:smallCaps w:val="false"/>
          <w:sz w:val="20"/>
        </w:rPr>
        <w:t>. The provisions of this Agreement shall be severable in the event that any of the provisions hereof (including any portion thereof) are held by a court of competent jurisdiction to be invalid, illegal, void or otherwise unenforceable, and the remaining provisions shall remain enforceable to the fullest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Notices</w:t>
      </w:r>
      <w:r>
        <w:rPr>
          <w:rFonts w:ascii="Times New Roman;Times;Serif" w:hAnsi="Times New Roman;Times;Serif"/>
          <w:b w:val="false"/>
          <w:i w:val="false"/>
          <w:caps w:val="false"/>
          <w:smallCaps w:val="false"/>
          <w:sz w:val="20"/>
        </w:rPr>
        <w:t>. All notices, requests, demands and other communications required or permitted under this Agreement shall be in writing and shall be deemed to have been duly given and made if (i) delivered by hand; (ii) otherwise delivered against receipt therefor; (iii) mailed by postage prepaid, certified or registered mail; (iv) sent by a recognized courier with next-day or second-day delivery to the last known address of the other party; or (v) sent by e-mail with confirmation of receipt: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Indemnitee, to the email address set forth on the signature page hereto.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Etoiles Capital Group Co., Ltd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32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03-04, 25/F, Cosco Tower, 183 Queen’s Road</w:t>
      </w:r>
    </w:p>
    <w:p>
      <w:pPr>
        <w:pStyle w:val="TextBody"/>
        <w:bidi w:val="0"/>
        <w:spacing w:before="0" w:after="0"/>
        <w:ind w:left="32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 Sheung Wan,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change of address shall be effective only when given in accordance with this Section. All notices complying with this Section shall be deemed to have been received on the date of delivery or on the third business day after mailing.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Governing Law</w:t>
      </w:r>
      <w:r>
        <w:rPr>
          <w:rFonts w:ascii="Times New Roman;Times;Serif" w:hAnsi="Times New Roman;Times;Serif"/>
          <w:b w:val="false"/>
          <w:i w:val="false"/>
          <w:caps w:val="false"/>
          <w:smallCaps w:val="false"/>
          <w:sz w:val="20"/>
        </w:rPr>
        <w:t>. This Agreement shall be governed by and construed and enforced in accordance with the laws of the State of New York applicable to contracts made and to be performed in such state without giving effect to its principles of conflicts of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Headings</w:t>
      </w:r>
      <w:r>
        <w:rPr>
          <w:rFonts w:ascii="Times New Roman;Times;Serif" w:hAnsi="Times New Roman;Times;Serif"/>
          <w:b w:val="false"/>
          <w:i w:val="false"/>
          <w:caps w:val="false"/>
          <w:smallCaps w:val="false"/>
          <w:sz w:val="20"/>
        </w:rPr>
        <w:t>. The headings of the sections and paragraphs of this Agreement are inserted for convenience only and shall not be deemed to constitute part of this Agreement or to affect the construction or interpretation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Counterparts</w:t>
      </w:r>
      <w:r>
        <w:rPr>
          <w:rFonts w:ascii="Times New Roman;Times;Serif" w:hAnsi="Times New Roman;Times;Serif"/>
          <w:b w:val="false"/>
          <w:i w:val="false"/>
          <w:caps w:val="false"/>
          <w:smallCaps w:val="false"/>
          <w:sz w:val="20"/>
        </w:rPr>
        <w:t>. This Agreement may be executed in one or more counterparts, each of which shall for all purposes be deemed to be an original, and all of which together shall constitute one and the same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689" w:type="dxa"/>
        <w:jc w:val="left"/>
        <w:tblInd w:w="0" w:type="dxa"/>
        <w:tblLayout w:type="fixed"/>
        <w:tblCellMar>
          <w:top w:w="0" w:type="dxa"/>
          <w:left w:w="0" w:type="dxa"/>
          <w:bottom w:w="0" w:type="dxa"/>
          <w:right w:w="0" w:type="dxa"/>
        </w:tblCellMar>
      </w:tblPr>
      <w:tblGrid>
        <w:gridCol w:w="75"/>
        <w:gridCol w:w="570"/>
        <w:gridCol w:w="2044"/>
      </w:tblGrid>
      <w:tr>
        <w:trPr/>
        <w:tc>
          <w:tcPr>
            <w:tcW w:w="75" w:type="dxa"/>
            <w:tcBorders/>
            <w:vAlign w:val="center"/>
          </w:tcPr>
          <w:p>
            <w:pPr>
              <w:pStyle w:val="TableContents"/>
              <w:bidi w:val="0"/>
              <w:spacing w:before="0" w:after="283"/>
              <w:jc w:val="left"/>
              <w:rPr/>
            </w:pPr>
            <w:r>
              <w:rPr/>
              <w:t> </w:t>
            </w:r>
          </w:p>
        </w:tc>
        <w:tc>
          <w:tcPr>
            <w:tcW w:w="261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Etoiles Capital Group Co., Ltd</w:t>
            </w:r>
          </w:p>
        </w:tc>
      </w:tr>
      <w:tr>
        <w:trPr/>
        <w:tc>
          <w:tcPr>
            <w:tcW w:w="75" w:type="dxa"/>
            <w:tcBorders/>
            <w:vAlign w:val="center"/>
          </w:tcPr>
          <w:p>
            <w:pPr>
              <w:pStyle w:val="TableContents"/>
              <w:bidi w:val="0"/>
              <w:spacing w:before="0" w:after="283"/>
              <w:jc w:val="left"/>
              <w:rPr/>
            </w:pPr>
            <w:r>
              <w:rPr/>
              <w:t> </w:t>
            </w:r>
          </w:p>
        </w:tc>
        <w:tc>
          <w:tcPr>
            <w:tcW w:w="26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4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576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75"/>
        <w:gridCol w:w="560"/>
        <w:gridCol w:w="1040"/>
      </w:tblGrid>
      <w:tr>
        <w:trPr/>
        <w:tc>
          <w:tcPr>
            <w:tcW w:w="75"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INDEMNITEE</w:t>
            </w:r>
          </w:p>
        </w:tc>
      </w:tr>
      <w:tr>
        <w:trPr/>
        <w:tc>
          <w:tcPr>
            <w:tcW w:w="75"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Nancy Yang</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10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Indemnification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8201</Words>
  <Characters>43798</Characters>
  <CharactersWithSpaces>52036</CharactersWithSpaces>
  <Paragraphs>416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