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This report on Form 6-K describes recent changes to the Board of Directors of Etoiles Capital Group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Departure of Independent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Raj K, THAKAR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October 31, 2025, Raj K, THAKAR (“Mr. Thakar”) resigned as an independent director, chairman of the Nominating and Corporate Governance Committee, member of the Audit Committee and member of the Compensation Committee of the Company. Mr. Thakar has indicated his resignation is for personal reasons and not due to any disagreement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on October 31, 2025, the Board of Directors (the “Board”) of the Company approved the appointment of Heung Ping, WONG (“Mr. Wong”) as independent director of the Company, to fill the vacancy resulting from the resignation of Mr. Thakar. Mr. Wong will be the chairman of the Nominating and Corporate Governance Committee, member of the Audit Committee and member of the Compensation Committee of the Company. Mr. Wong meets the independence requirements of the Nasdaq Stock Market.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Heung Ping Wong</w:t>
      </w:r>
      <w:r>
        <w:rPr>
          <w:rFonts w:ascii="Times New Roman" w:cs="Times New Roman" w:eastAsia="Times New Roman" w:hAnsi="Times New Roman"/>
          <w:sz w:val="18"/>
          <w:szCs w:val="18"/>
          <w:color w:val="auto"/>
        </w:rPr>
        <w:t>, aged 43, has over 18 years of experience in journalism and financial services. Since 2013, Mr. Wong has been serving as a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at AIA International Limited. From 2007 to 2013, Mr. Wong was a senior reporter at the Hong Kong Economic Times. Mr. Wong obtained a Bachelor of Business Administration from Hong Kong Baptist University in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Independent Director Agreement between Etoiles Capital Group Co., Ltd. and its director, Heung Ping Wong</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500" w:type="dxa"/>
            <w:vAlign w:val="bottom"/>
            <w:tcBorders>
              <w:top w:val="single" w:sz="8" w:color="0000EE"/>
              <w:bottom w:val="single" w:sz="8" w:color="auto"/>
            </w:tcBorders>
          </w:tcPr>
          <w:p>
            <w:pPr>
              <w:jc w:val="right"/>
              <w:ind w:right="399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7"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Kit Shing, CHEUNG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Chief Executive Officer, and Chairman of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DIRECTOR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INDEPENDENT DIRECTOR AGREEMENT </w:t>
      </w:r>
      <w:r>
        <w:rPr>
          <w:rFonts w:ascii="Times New Roman" w:cs="Times New Roman" w:eastAsia="Times New Roman" w:hAnsi="Times New Roman"/>
          <w:sz w:val="18"/>
          <w:szCs w:val="18"/>
          <w:color w:val="auto"/>
        </w:rPr>
        <w:t>(this “Agreement”), dated as of October 31, 2025, is by and between</w:t>
      </w:r>
      <w:r>
        <w:rPr>
          <w:rFonts w:ascii="Times New Roman" w:cs="Times New Roman" w:eastAsia="Times New Roman" w:hAnsi="Times New Roman"/>
          <w:sz w:val="18"/>
          <w:szCs w:val="18"/>
          <w:b w:val="1"/>
          <w:bCs w:val="1"/>
          <w:color w:val="auto"/>
        </w:rPr>
        <w:t xml:space="preserve"> Etoiles Capital Group Co., Ltd</w:t>
      </w:r>
      <w:r>
        <w:rPr>
          <w:rFonts w:ascii="Times New Roman" w:cs="Times New Roman" w:eastAsia="Times New Roman" w:hAnsi="Times New Roman"/>
          <w:sz w:val="18"/>
          <w:szCs w:val="18"/>
          <w:color w:val="auto"/>
        </w:rPr>
        <w:t>, a company incorporated under the laws of the Cayman Islands (the “Company”), and Heung Ping Wong, an individual (the “Director”)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effective on the date of this Agreement (the “Effective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appoint the Director to serve on the Company’s board of directors (the “Board”) and the Director desires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such appointment to serve on the Board;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 may be appointed to serve as a member or chair of one or more committees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Director’s services to the Company as a member of the Board,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committees of the Board to which the Director may be appointed from time to time and as chair of one or more committees to which the Director may be appointed in such capacity from time to time, and intending to be legally bound hereby, the Company and the Director hereby agree as follows:</w:t>
      </w:r>
    </w:p>
    <w:p>
      <w:pPr>
        <w:spacing w:after="0" w:line="171" w:lineRule="exact"/>
        <w:rPr>
          <w:sz w:val="20"/>
          <w:szCs w:val="20"/>
          <w:color w:val="auto"/>
        </w:rPr>
      </w:pPr>
    </w:p>
    <w:p>
      <w:pPr>
        <w:jc w:val="both"/>
        <w:ind w:firstLine="656"/>
        <w:spacing w:after="0" w:line="257" w:lineRule="auto"/>
        <w:tabs>
          <w:tab w:leader="none" w:pos="8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Company hereby appoints the Director, and the Director hereby accepts such appointment by the Company, for the purposes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conditions contained in this Agreement. The term of such appointment shall commence on the Effective Date and shall continue until the Director’s successor is duly elected or appointed and qualified or until the Director’s earlier death, disqualification, resignation or removal from office, pursuant to the terms of this Agreement, the Company’s then current Memorandum and Articles of Association, as may be amended from time to time, or any applicable laws, rules, or regulations (the “Expiration Date”). In the event that the Director’s successor has not been duly elected or appointed as of the Expiration Date, the Director agrees to continue to serve hereunder until such successor has been duly elected or appointed and qualified.</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Upon the Effective Date and during the term of this Agreement, the Director shall receive a monthly remuneration of US$1,500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accrue on a day to day basis payable in arrears on the last day of each calendar month provided that if the Appointment is terminated prior to the end of a calendar month, the Director shall only be entitled to a proportionate part of such salary in respect of the period of service during the relevant month up to the date of termination (the “Compensation”). The Compensation may be reviewed during the term of this Agreement by the Compensation Committee pursuant to its terms of reference after the Effective Date. Any adjustment of the Compensation shall be recommended by the Compensation Committee (when applicable) and approved by the Board duly convened pursuant to the then current Memorandum and Articles of Association of the Company.</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8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The Director acknowledges that appointment to the Board is contingent upon the Board’s determination that the Director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with respect to the Company in accordance with applicable listing standards of the National Association of Securities Dealers (Nasdaq) and any other applicable rules, and that the Director may be removed from the Board in the event that the Director does not maintain such independence. The Director acknowledges and agrees that the acceptance, directly or indirectly, of any consulting, advisory, or other compensatory fee, other than for Board service, from the Company or any subsidiary thereof will impair the Director’s independence, and the Director agrees not to accept any such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56"/>
        <w:spacing w:after="0" w:line="268"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w:t>
      </w:r>
      <w:r>
        <w:rPr>
          <w:rFonts w:ascii="Times New Roman" w:cs="Times New Roman" w:eastAsia="Times New Roman" w:hAnsi="Times New Roman"/>
          <w:sz w:val="18"/>
          <w:szCs w:val="18"/>
          <w:color w:val="auto"/>
        </w:rPr>
        <w:t>The Director shall exercise all powers in good faith and in the best interests of the Company, including but not limited to, attending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meetings of the Board or applicable committees thereof, executive sessions of the independent directors, reviewing filing reports and other corporate documents as requested by the Company, providing comments and opinions as to business matters as requested by the Company.</w:t>
      </w:r>
    </w:p>
    <w:p>
      <w:pPr>
        <w:spacing w:after="0" w:line="17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Interest/A</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plicable Law</w:t>
      </w:r>
      <w:r>
        <w:rPr>
          <w:rFonts w:ascii="Times New Roman" w:cs="Times New Roman" w:eastAsia="Times New Roman" w:hAnsi="Times New Roman"/>
          <w:sz w:val="18"/>
          <w:szCs w:val="18"/>
          <w:color w:val="auto"/>
        </w:rPr>
        <w:t>. In the event that the Director has a direct or indirect financial or personal interest in a contract or transaction to which the Company is a party, or the Director is contemplating entering into a transaction that involves use of corporate assets or competition against the Company, the Director shall promptly disclose such potential conflict to the applicable Board committee or the Board and proceed as directed by such committee or the Board, as applicable. The Director acknowledges the duty of loyalty and the duty of care owed to the Company pursuant to applicable law and agrees to act in all cases in accordance with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Whenever the Director becomes aware of a business opportunity related to the Company’s business, which one could reasonably expect the Director to make available to the Company, the Director shall promptly disclose such opportunity to the applicable Board committee or the Board and proceed as directed by such committee or the Board, as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w:t>
      </w:r>
      <w:r>
        <w:rPr>
          <w:rFonts w:ascii="Times New Roman" w:cs="Times New Roman" w:eastAsia="Times New Roman" w:hAnsi="Times New Roman"/>
          <w:sz w:val="18"/>
          <w:szCs w:val="18"/>
          <w:color w:val="auto"/>
        </w:rPr>
        <w:t>y. The Director agrees and acknowledges that, by reason of the nature of the Director’s duties on the Board, the Director will have or may have access to and become informed of proprietary, confidential and secret information which is a competitive asset of the Company (the “Confidential Information”), including, without limitation, any lists of customers or suppliers, distributors, financial statistics, research data or any other statistics and plans or operation plans or other trade secrets of the Company and any of the foregoing which belong to any person or company but to which the Director has had access by reason of the Director’s relationship with the Company. The term “Confidential Information” shall not include information which: (i) is or becomes generally available to the public other than as a result of a disclosure by the Director or the Director’s representatives; or (ii) is required to be disclosed by the Director due to governmental regulatory or judicial process. The Director agrees faithfully to keep in strict confidence, and not, either directly or indirectly, to make known, divulge, reveal, furnish, make available or use (except for use in the regular course of employment duties) any such Confidential Information. The Director acknowledges that all manuals, instruction books, price lists, information and records and other information and aids relating to the Company’s business, and any and all other documents containing Confidential Information furnished to the Director by the Company or otherwise acquired or developed by the Director, shall at all times be the property of the Company. Upon termination of the Director’s services hereunder, the Director shall return to the Company any such property or documents which are in the Director’s possession, custody or control, but this obligation of confidentiality shall survive such termination until and unless any such Confidential Information shall have become, through no fault of the Director, generally known to the public. The obligations of the Director under this subsection are in addition to, and not in limitation or preemption of, all other obligations of confidentiality which the Director may have to the Company under general legal or equitable principles.</w:t>
      </w:r>
    </w:p>
    <w:p>
      <w:pPr>
        <w:spacing w:after="0" w:line="196"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of Business Conduct and Ethics</w:t>
      </w:r>
      <w:r>
        <w:rPr>
          <w:rFonts w:ascii="Times New Roman" w:cs="Times New Roman" w:eastAsia="Times New Roman" w:hAnsi="Times New Roman"/>
          <w:sz w:val="18"/>
          <w:szCs w:val="18"/>
          <w:color w:val="auto"/>
        </w:rPr>
        <w:t>. The Director agrees to abide by and follow all such procedures set forth in the Company’s code of business conduct and ethics, as may be in existence now or at any time during the term of this Agreement, and any other policy, code or document governing the conduct of directors of the Company as may be in existence now or at any time during the term of this Agreement.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8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Upon submission of adequate documentation by the Director to the Company, the Director shall be reimbursed for all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connection with the Director’s positions as a member of the Board and for services as a member of each committee of the Board to which the Director may be appointed.</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 The Company and the Director agree that indemnification with respect to the Director’s service on the Board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Indemnification Agreement attached as Exhibit A hereto (the “Indemnification Agreement”).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Director agrees to cooperate with the Company to take all steps necessary or appropriate for the withholding of taxes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required under law or regulation in connection herewith, and the Company may act unilaterally in order to comply with such laws.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upon and inure to the benefit of the Company and its successors and assigns.</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 The recitals to this Agreement are true and correct and are incorporated herein, in their entirety, by this reference.</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which shall remain in full force and effect.</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9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 and Captions</w:t>
      </w:r>
      <w:r>
        <w:rPr>
          <w:rFonts w:ascii="Times New Roman" w:cs="Times New Roman" w:eastAsia="Times New Roman" w:hAnsi="Times New Roman"/>
          <w:sz w:val="18"/>
          <w:szCs w:val="18"/>
          <w:color w:val="auto"/>
        </w:rPr>
        <w:t>. The titles and captions of paragraphs and subparagraphs contained in this Agreement are provided for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reference only, and shall not be considered terms or conditions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Neutral Construction</w:t>
      </w:r>
      <w:r>
        <w:rPr>
          <w:rFonts w:ascii="Times New Roman" w:cs="Times New Roman" w:eastAsia="Times New Roman" w:hAnsi="Times New Roman"/>
          <w:sz w:val="18"/>
          <w:szCs w:val="18"/>
          <w:color w:val="auto"/>
        </w:rPr>
        <w:t>. Neither party hereto may rely on any drafts of this Agreement in any interpretation of the Agreement. Both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have reviewed this Agreement and have participated in its drafting and, accordingly, neither party shall attempt to invoke the normal rule of construction to the effect that ambiguities are to be resolved against the drafting party in any interpretation of this Agreement.</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will constitute one and the same instrument.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construed under the laws of the State of New York, without application to the principles of conflicts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laws. This Agreement and the Indemnification Agreement constitute the entire understanding between the parties with respect to the Director’s service on the Board and there are no prior or contemporaneous written or oral agreements, understandings, or representations, express or implied, directly or indirectly related to this Agreement that are not set forth or referenced herein. This Agreement supersedes all negotiations, preliminary agreements, and all prior and contemporaneous discussions and understandings of the parties hereto and/or their affiliates with respect to the Director’s service on the Board. The Director acknowledges that he has not relied on any prior or contemporaneous discussions or understanding in entering into this Agreement. The terms and provisions of this Agreement may be altered, amended or discharged only by the signed written agreement of the parties 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Independent Director Agreement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Kit Shing, Cheung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156845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Heung Ping, Wong</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Signature Page to Independent Director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900" w:right="1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128905</wp:posOffset>
            </wp:positionV>
            <wp:extent cx="2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INDEMNIFICATION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INDEMNIFICATION AGREEMENT </w:t>
      </w:r>
      <w:r>
        <w:rPr>
          <w:rFonts w:ascii="Times New Roman" w:cs="Times New Roman" w:eastAsia="Times New Roman" w:hAnsi="Times New Roman"/>
          <w:sz w:val="18"/>
          <w:szCs w:val="18"/>
          <w:color w:val="auto"/>
        </w:rPr>
        <w:t>(this “Agreement”), dated as of October 31, 2025, is by and between</w:t>
      </w:r>
      <w:r>
        <w:rPr>
          <w:rFonts w:ascii="Times New Roman" w:cs="Times New Roman" w:eastAsia="Times New Roman" w:hAnsi="Times New Roman"/>
          <w:sz w:val="18"/>
          <w:szCs w:val="18"/>
          <w:b w:val="1"/>
          <w:bCs w:val="1"/>
          <w:color w:val="auto"/>
        </w:rPr>
        <w:t xml:space="preserve"> Etoiles Capital Group Co., Ltd</w:t>
      </w:r>
      <w:r>
        <w:rPr>
          <w:rFonts w:ascii="Times New Roman" w:cs="Times New Roman" w:eastAsia="Times New Roman" w:hAnsi="Times New Roman"/>
          <w:sz w:val="18"/>
          <w:szCs w:val="18"/>
          <w:color w:val="auto"/>
        </w:rPr>
        <w:t>, a company incorporated under the laws of the Cayman Islands (the “Company”) and Heung Ping Wong (the “Indemnitee”) and shall become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this Agreement (the “Effective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is a director or officer of the Company and in such capacity renders valuable services to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Company and Indemnitee recognize the increased risk of litigation and other claims being asserted against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of public companies;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that enhancing the ability of the Company to retain and attract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directors and officers the most capable persons is in the best interests of the Company and that the Company therefore should seek to assure such persons that indemnification is available; and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recognition of the need to provide Indemnitee with substantial protection against personal liability, in order to procure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Memorandum and Articles of Association (collectively, the “Constituent Documents”), any change in the composition of the Board or any change in control or business combination transaction relating to the Company), the Company wishes to provide in this Agreement for the indemnification of, and the advancement of Expenses (as defined in Section 1 below) to, Indemnitee as set forth in this Agreement.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Indemnitee’s agreement to continue to provide services to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5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given to the term “beneficial owner” in Rule 13d-3 under the Securities Exchange Act of 1934, as amended (the “Exchange Act”).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after the Effective Date of any of the following events:</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63"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51% or more of the Company’s then outstanding Voting Securities;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51% of the combined voting power of the outstanding Voting Securities of the entity resulting from such transaction;</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3"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Board;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40" w:firstLine="652"/>
        <w:spacing w:after="0" w:line="282" w:lineRule="auto"/>
        <w:tabs>
          <w:tab w:leader="none" w:pos="15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an agreement for the sale or disposition by the Company of all or substantially all of the Company’s assets.</w:t>
      </w:r>
    </w:p>
    <w:p>
      <w:pPr>
        <w:spacing w:after="0" w:line="161"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threatened, pending or completed action, suit, proceeding or alternative dispute resolution mechanism, whether civil, criminal, administrative, arbitrative, investigative or other, and whether made pursuant to federal, state or other law; or</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inquiry, hearing or investigation that the Indemnitee determines might lead to the institution of any such action, suit, proceeding or alternative dispute resolution mechanism.</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a director of the Company who is not and was not a party to the Claim in respect of which indemnification is sought by Indemnitee.</w:t>
      </w:r>
    </w:p>
    <w:p>
      <w:pPr>
        <w:spacing w:after="0" w:line="161" w:lineRule="exact"/>
        <w:rPr>
          <w:rFonts w:ascii="Times New Roman" w:cs="Times New Roman" w:eastAsia="Times New Roman" w:hAnsi="Times New Roman"/>
          <w:sz w:val="18"/>
          <w:szCs w:val="18"/>
          <w:color w:val="auto"/>
        </w:rPr>
      </w:pPr>
    </w:p>
    <w:p>
      <w:pPr>
        <w:jc w:val="both"/>
        <w:ind w:firstLine="644"/>
        <w:spacing w:after="0" w:line="254" w:lineRule="auto"/>
        <w:tabs>
          <w:tab w:leader="none" w:pos="9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 as bond, or other appeal bond or its equivalent, and (ii) for purposes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91"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Advance</w:t>
      </w:r>
      <w:r>
        <w:rPr>
          <w:rFonts w:ascii="Times New Roman" w:cs="Times New Roman" w:eastAsia="Times New Roman" w:hAnsi="Times New Roman"/>
          <w:sz w:val="18"/>
          <w:szCs w:val="18"/>
          <w:color w:val="auto"/>
        </w:rPr>
        <w:t xml:space="preserve">” means any payment of Expenses advanced to Indemnitee by the Company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jc w:val="both"/>
        <w:ind w:firstLine="644"/>
        <w:spacing w:after="0" w:line="25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means any event or occurrence, whether occurring before, on or after the Effective Date,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“Enterprise”) or by reason of an action or inaction by Indemnitee in any such capacity (whether or not serving in such capacity at the time any Loss is incurred for which indemnification can be provided under this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5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performs, nor in the past five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58" w:lineRule="auto"/>
        <w:tabs>
          <w:tab w:leader="none" w:pos="8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ind w:left="660" w:firstLine="644"/>
        <w:spacing w:after="0" w:line="282" w:lineRule="auto"/>
        <w:tabs>
          <w:tab w:leader="none" w:pos="156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of Conduct Determination</w:t>
      </w:r>
      <w:r>
        <w:rPr>
          <w:rFonts w:ascii="Times New Roman" w:cs="Times New Roman" w:eastAsia="Times New Roman" w:hAnsi="Times New Roman"/>
          <w:sz w:val="18"/>
          <w:szCs w:val="18"/>
          <w:color w:val="auto"/>
        </w:rPr>
        <w:t xml:space="preserve">” shall have the meaning ascribed to it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(b) below.</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securities of the Company that vote generally in the election of directors.</w:t>
      </w:r>
    </w:p>
    <w:p>
      <w:pPr>
        <w:spacing w:after="0" w:line="221" w:lineRule="exact"/>
        <w:rPr>
          <w:rFonts w:ascii="Times New Roman" w:cs="Times New Roman" w:eastAsia="Times New Roman" w:hAnsi="Times New Roman"/>
          <w:sz w:val="18"/>
          <w:szCs w:val="18"/>
          <w:color w:val="auto"/>
        </w:rPr>
      </w:pPr>
    </w:p>
    <w:p>
      <w:pPr>
        <w:jc w:val="both"/>
        <w:ind w:firstLine="656"/>
        <w:spacing w:after="0" w:line="259" w:lineRule="auto"/>
        <w:tabs>
          <w:tab w:leader="none" w:pos="8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the Company shall indemnify Indemnitee,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the laws of the State of New York in effect on the Effective Date,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Advancement of Expenses</w:t>
      </w:r>
      <w:r>
        <w:rPr>
          <w:rFonts w:ascii="Times New Roman" w:cs="Times New Roman" w:eastAsia="Times New Roman" w:hAnsi="Times New Roman"/>
          <w:sz w:val="18"/>
          <w:szCs w:val="18"/>
          <w:color w:val="auto"/>
        </w:rPr>
        <w:t>. Indemnitee shall have the right to advancement by the Company, prior to the final disposition of any Claim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adjudication to which there are no further rights of appeal, of any and all Expenses actually and reasonably paid or incurred by Indemnitee in connection with any Claim arising out of an Indemnifiable Event at the written request of Indemnitee. Indemnitee shall set forth in such request reasonable evidence that such Expenses have been paid or incurred by Indemnitee. Indemnitee’s right to such advancement is not subject to the satisfaction of any standard of conduct. Without limiting the generality or effect of the foregoing, within thirty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The Company’s obligation to pay Expense Advances to Indemnitee is contingent upon Indemnitee’s execution and delivery to the Company of an undertaking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in Enforcing Rights</w:t>
      </w:r>
      <w:r>
        <w:rPr>
          <w:rFonts w:ascii="Times New Roman" w:cs="Times New Roman" w:eastAsia="Times New Roman" w:hAnsi="Times New Roman"/>
          <w:sz w:val="18"/>
          <w:szCs w:val="18"/>
          <w:color w:val="auto"/>
        </w:rPr>
        <w:t>. To the fullest extent allowable under applicable law, the Company shall also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against, and, if requested by Indemnitee, shall advance to Indemnitee subject to and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repaid.</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8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Indemnity</w:t>
      </w:r>
      <w:r>
        <w:rPr>
          <w:rFonts w:ascii="Times New Roman" w:cs="Times New Roman" w:eastAsia="Times New Roman" w:hAnsi="Times New Roman"/>
          <w:sz w:val="18"/>
          <w:szCs w:val="18"/>
          <w:color w:val="auto"/>
        </w:rPr>
        <w:t>. If Indemnitee is entitled under any provision of this Agreement to indemnification by the Company for a portion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in respect of a Claim related to an Indemnifiable Event but not for the total amount thereof, the Company shall nevertheless indemnify Indemnitee for the portion thereof to which Indemnitee is entitled.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and Defense of Claims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5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Claims</w:t>
      </w:r>
      <w:r>
        <w:rPr>
          <w:rFonts w:ascii="Times New Roman" w:cs="Times New Roman" w:eastAsia="Times New Roman" w:hAnsi="Times New Roman"/>
          <w:sz w:val="18"/>
          <w:szCs w:val="18"/>
          <w:color w:val="auto"/>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the Company’s ability to participate in the defense of such claim was materially and adversely affected by such failure. If at the time of the receipt of such notice, the Company has directors’ and officers’ liability insurance in effect under which coverage for Claims related to Indemnifiable Events is potentially available, the Company shall give prompt written notice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Claim, in each case substantially concurrently with the delivery or receipt thereof by the Company.</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of Claims</w:t>
      </w:r>
      <w:r>
        <w:rPr>
          <w:rFonts w:ascii="Times New Roman" w:cs="Times New Roman" w:eastAsia="Times New Roman" w:hAnsi="Times New Roman"/>
          <w:sz w:val="18"/>
          <w:szCs w:val="18"/>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and all Expenses related to such separate counsel shall be borne by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 In order to obtain indemnification pursuant to this Agreement, Indemnitee shall submit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7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Determination of Right to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the fullest extent allowable by law, and no Standard of Conduct Determination (as defined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(b)) shall be required.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(b)) shall be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56"/>
        <w:spacing w:after="0" w:line="261"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of Conduct</w:t>
      </w:r>
      <w:r>
        <w:rPr>
          <w:rFonts w:ascii="Times New Roman" w:cs="Times New Roman" w:eastAsia="Times New Roman" w:hAnsi="Times New Roman"/>
          <w:sz w:val="18"/>
          <w:szCs w:val="18"/>
          <w:color w:val="auto"/>
        </w:rPr>
        <w:t xml:space="preserve">. To the extent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(a) are inapplicable to a Claim related to an Indemnifiable Event that shall have been finally disposed of, any determination of whether Indemnitee has satisfied any applicable standard of conduct under New York law that is a legally required condition to indemnification of Indemnitee hereunder against Losses relating to such Claim and any determination that Expense Advances must be repaid to the Company (a “Standard of Conduct Determination”) shall be made as follows:</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Change in Control has occurred, (A) by a majority vote of the Disinterested Directors, even if less than a quorum of the Board,</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the Standard of Conduct Determination</w:t>
      </w:r>
      <w:r>
        <w:rPr>
          <w:rFonts w:ascii="Times New Roman" w:cs="Times New Roman" w:eastAsia="Times New Roman" w:hAnsi="Times New Roman"/>
          <w:sz w:val="18"/>
          <w:szCs w:val="18"/>
          <w:color w:val="auto"/>
        </w:rPr>
        <w:t xml:space="preserve">. The Company shall use its reasonable best efforts to cause any Standard of Conduct Determination required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(b) to be made as promptly as practicable. If the person or persons designated to make the Standard of Conduct Determination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(b) shall not have made a determination within thirty days after the later of (A) receipt by the Company of a written request from Indemnitee for indemnification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date of such receipt being the “Notification Date”) and (B) the selection of an Independent Counsel, if such determination is to be made by Independent Counsel, then Indemnitee shall be deemed to have satisfied the applicable standard of conduct; provided that such 30-day period may be extended for a reasonable time,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If, in regard to any Losses: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entitled to indemnification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(a);</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Standard Conduct Determination is legally required as a condition to indemnification of Indemnitee hereunder;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has been determined or deemed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(b)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(c) to have satisfied the Standard of Conduct Determination,</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then the Company shall pay to Indemnitee, within thirty days after the later of (A) the Notification Date or (B) the earliest date on which the applicable criterion specified in clause (i), (ii) or (iii) is satisfied, an amount equal to such Losses.</w:t>
      </w:r>
    </w:p>
    <w:p>
      <w:pPr>
        <w:spacing w:after="0" w:line="162" w:lineRule="exact"/>
        <w:rPr>
          <w:sz w:val="20"/>
          <w:szCs w:val="20"/>
          <w:color w:val="auto"/>
        </w:rPr>
      </w:pPr>
    </w:p>
    <w:p>
      <w:pPr>
        <w:jc w:val="both"/>
        <w:ind w:firstLine="656"/>
        <w:spacing w:after="0" w:line="252" w:lineRule="auto"/>
        <w:tabs>
          <w:tab w:leader="none" w:pos="9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Independent Counsel for Standard of Conduct Determination</w:t>
      </w:r>
      <w:r>
        <w:rPr>
          <w:rFonts w:ascii="Times New Roman" w:cs="Times New Roman" w:eastAsia="Times New Roman" w:hAnsi="Times New Roman"/>
          <w:sz w:val="18"/>
          <w:szCs w:val="18"/>
          <w:color w:val="auto"/>
        </w:rPr>
        <w:t xml:space="preserve">. If a Standard of Conduct Determination is to be made by Independent Counsel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(b)(i), the Independent Counsel shall be selected by the Board, and the Company shall give written notice to Indemnitee advising of the identity of the Independent Counsel so selected. If a Standard of Conduct Determination is to be made by Independent Counsel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(b)(ii), the Independent Counsel shall be selected by Indemnitee, and Indemnitee shall give written notice to the Company advising it of the identity of the Independent Counsel so selected. In either case, Indemnitee or the Company, as applicable, may, within five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immediately preceding sentence shall apply to successive alternative selections. If no Independent Counsel that is permitted under the foregoing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(e) to make the Standard of Conduct Determination shall have been selected within twenty days after the Company gives its initial notice pursuant to the first sentence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(e) or Indemnitee gives its initial notice pursuant to the second sentence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(e), as the case may be, either the Company or Indemnitee may petition a court of competent jurisdiction to resolve any objection which shall have been made by the Company or Indemnitee to the other’s selection of Independent Counsel and/or to appoint as Independent Counsel a person to be selected by such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 and Defenses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Indemnitee’s Entitlement to Indemnification</w:t>
      </w:r>
      <w:r>
        <w:rPr>
          <w:rFonts w:ascii="Times New Roman" w:cs="Times New Roman" w:eastAsia="Times New Roman" w:hAnsi="Times New Roman"/>
          <w:sz w:val="18"/>
          <w:szCs w:val="18"/>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a court of competent jurisdiction.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as a Safe Harbor</w:t>
      </w:r>
      <w:r>
        <w:rPr>
          <w:rFonts w:ascii="Times New Roman" w:cs="Times New Roman" w:eastAsia="Times New Roman" w:hAnsi="Times New Roman"/>
          <w:sz w:val="18"/>
          <w:szCs w:val="18"/>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Presumptions</w:t>
      </w:r>
      <w:r>
        <w:rPr>
          <w:rFonts w:ascii="Times New Roman" w:cs="Times New Roman" w:eastAsia="Times New Roman" w:hAnsi="Times New Roman"/>
          <w:sz w:val="18"/>
          <w:szCs w:val="18"/>
          <w:color w:val="auto"/>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and Burden of Proof</w:t>
      </w:r>
      <w:r>
        <w:rPr>
          <w:rFonts w:ascii="Times New Roman" w:cs="Times New Roman" w:eastAsia="Times New Roman" w:hAnsi="Times New Roman"/>
          <w:sz w:val="18"/>
          <w:szCs w:val="18"/>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Claims</w:t>
      </w:r>
      <w:r>
        <w:rPr>
          <w:rFonts w:ascii="Times New Roman" w:cs="Times New Roman" w:eastAsia="Times New Roman" w:hAnsi="Times New Roman"/>
          <w:sz w:val="18"/>
          <w:szCs w:val="18"/>
          <w:color w:val="auto"/>
        </w:rPr>
        <w:t xml:space="preserve">. The Company acknowledges that a settlement or other disposition short of final judgment may be successful on the merits or otherwise for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(a)(i). The Company shall have the burden of proof to overcome this presumption.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840" w:hanging="184"/>
        <w:spacing w:after="0"/>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 from Indemnification</w:t>
      </w:r>
      <w:r>
        <w:rPr>
          <w:rFonts w:ascii="Times New Roman" w:cs="Times New Roman" w:eastAsia="Times New Roman" w:hAnsi="Times New Roman"/>
          <w:sz w:val="18"/>
          <w:szCs w:val="18"/>
          <w:color w:val="auto"/>
        </w:rPr>
        <w:t>. Notwithstanding anything in this Agreement to the contrary, the Company shall not be obligated to:</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5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186"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proceedings referenced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above (unless a court of competent jurisdiction determines that each of the material assertions made by Indemnitee in such proceeding was not made in good faith or was frivolous); or</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joined in or the Board has consented to the initiation of such proceedings;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Indemnitee if a final decision by a court of competent jurisdiction determines that such indemnification is prohibited by applicable law;</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Indemnitee for the disgorgement of profits arising from the purchase or sale by Indemnitee of securities of the Company in violation of Section 16(b) of the Exchange Act, or any similar successor statute;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9"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9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Claims</w:t>
      </w:r>
      <w:r>
        <w:rPr>
          <w:rFonts w:ascii="Times New Roman" w:cs="Times New Roman" w:eastAsia="Times New Roman" w:hAnsi="Times New Roman"/>
          <w:sz w:val="18"/>
          <w:szCs w:val="18"/>
          <w:color w:val="auto"/>
        </w:rPr>
        <w:t>. The Company shall not be liable to Indemnitee under this Agreement for any amounts paid in settlement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18"/>
          <w:szCs w:val="18"/>
          <w:color w:val="auto"/>
        </w:rPr>
        <w:t>. All agreements and obligations of the Company contained herein shall continue during the period that Indemnitee is a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79" w:lineRule="exact"/>
        <w:rPr>
          <w:rFonts w:ascii="Times New Roman" w:cs="Times New Roman" w:eastAsia="Times New Roman" w:hAnsi="Times New Roman"/>
          <w:sz w:val="18"/>
          <w:szCs w:val="18"/>
          <w:color w:val="auto"/>
        </w:rPr>
      </w:pPr>
    </w:p>
    <w:p>
      <w:pPr>
        <w:jc w:val="both"/>
        <w:ind w:firstLine="656"/>
        <w:spacing w:after="0" w:line="278" w:lineRule="auto"/>
        <w:tabs>
          <w:tab w:leader="none" w:pos="94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Non-Exclusivity</w:t>
      </w:r>
      <w:r>
        <w:rPr>
          <w:rFonts w:ascii="Times New Roman" w:cs="Times New Roman" w:eastAsia="Times New Roman" w:hAnsi="Times New Roman"/>
          <w:sz w:val="17"/>
          <w:szCs w:val="17"/>
          <w:color w:val="auto"/>
        </w:rPr>
        <w:t>. The rights of Indemnitee hereunder will be in addition to any other rights Indemnitee may have under the Constituent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the New York Business Corporation Law, any other contract or otherwise (collectively, “Other Indemnity Provisions”); provided, however, that</w:t>
      </w:r>
    </w:p>
    <w:p>
      <w:pPr>
        <w:spacing w:after="0" w:line="1" w:lineRule="exact"/>
        <w:rPr>
          <w:rFonts w:ascii="Times New Roman" w:cs="Times New Roman" w:eastAsia="Times New Roman" w:hAnsi="Times New Roman"/>
          <w:sz w:val="17"/>
          <w:szCs w:val="17"/>
          <w:color w:val="auto"/>
        </w:rPr>
      </w:pPr>
    </w:p>
    <w:p>
      <w:pPr>
        <w:jc w:val="both"/>
        <w:ind w:firstLine="8"/>
        <w:spacing w:after="0" w:line="255"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Effective Date, Indemnitee will be deemed to have such greater right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56"/>
        <w:spacing w:after="0" w:line="256"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Insurance</w:t>
      </w:r>
      <w:r>
        <w:rPr>
          <w:rFonts w:ascii="Times New Roman" w:cs="Times New Roman" w:eastAsia="Times New Roman" w:hAnsi="Times New Roman"/>
          <w:sz w:val="18"/>
          <w:szCs w:val="18"/>
          <w:color w:val="auto"/>
        </w:rPr>
        <w:t>. The Company shall from time to time make the good faith determination whether or not it is practicable for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obtain and maintain a policy or policies of insurance providing the officers and directors of the Company with coverage for losses incurred in connection with their services to the Company or to ensure the Company’s performance of its indemnification obligations under this Agreement.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 as applicable. Upon reasonable request, the Company will provide to Indemnitee copies of all directors’ and officers’ liability insurance applications, binders, policies, declarations and endorsements.</w:t>
      </w:r>
    </w:p>
    <w:p>
      <w:pPr>
        <w:spacing w:after="0" w:line="182"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to Indemnitee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to the extent Indemnitee has otherwise received payment under any insurance policy, the Constituent Documents, Other Indemnity Provisions or otherwise of the amounts otherwise indemnifiable by the Company hereunder.</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In the event of payment to Indemnitee under this Agreement, the Company shall be subrogated to the extent of such payment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rights of recovery of Indemnitee. Indemnitee shall execute all documents required and shall do everything that may be necessary to secure such rights, including the execution of such documents necessary to enable the Company effectively to bring suit to enforce such rights.</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9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No supplement, modification or amendment of this Agreement shall be binding unless executed in writing by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to assume and agree to perform this Agreement in the same manner and to the same extent that the Company would be required to perform if no such succession had taken place.</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provisions of this Agreement shall be severable in the event that any of the provisions hereof (including any portion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held by a court of competent jurisdiction to be invalid, illegal, void or otherwise unenforceable, and the remaining provisions shall remain enforceable to the fullest extent permitted by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56"/>
        <w:spacing w:after="0" w:line="262" w:lineRule="auto"/>
        <w:tabs>
          <w:tab w:leader="none" w:pos="9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and made if (i) delivered by hand; (ii) otherwise delivered against receipt therefor; (iii) mailed by postage prepaid, certified or registered mail; (iv) sent by a recognized courier with next-day or second-day delivery to the last known address of the other party; or (v) sent by e-mail with confirmation of receipt:</w:t>
      </w:r>
    </w:p>
    <w:p>
      <w:pPr>
        <w:spacing w:after="0" w:line="180"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the email address set forth on the signature page hereto.</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Etoiles Capital Group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 03-04, 25/F, Cosco Tower, 183 Queen’s Road Central,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Sheung Wan, Hong Kong</w:t>
      </w:r>
    </w:p>
    <w:p>
      <w:pPr>
        <w:spacing w:after="0" w:line="200" w:lineRule="exact"/>
        <w:rPr>
          <w:sz w:val="20"/>
          <w:szCs w:val="20"/>
          <w:color w:val="auto"/>
        </w:rPr>
      </w:pPr>
    </w:p>
    <w:p>
      <w:pPr>
        <w:sectPr>
          <w:pgSz w:w="11900" w:h="16838" w:orient="portrait"/>
          <w:cols w:equalWidth="0" w:num="2">
            <w:col w:w="3340" w:space="720"/>
            <w:col w:w="7180"/>
          </w:cols>
          <w:pgMar w:left="320" w:top="900" w:right="339" w:bottom="1440" w:gutter="0" w:footer="0" w:header="0"/>
          <w:type w:val="continuous"/>
        </w:sectPr>
      </w:pPr>
    </w:p>
    <w:p>
      <w:pPr>
        <w:spacing w:after="0" w:line="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Notice of change of address shall be effective only when given in accordance with this Section. All notices complying with this Section shall be deemed to have been received on the date of delivery or on the third business day after mailing.</w:t>
      </w:r>
    </w:p>
    <w:p>
      <w:pPr>
        <w:spacing w:after="0" w:line="158" w:lineRule="exact"/>
        <w:rPr>
          <w:sz w:val="20"/>
          <w:szCs w:val="20"/>
          <w:color w:val="auto"/>
        </w:rPr>
      </w:pPr>
    </w:p>
    <w:p>
      <w:pPr>
        <w:ind w:firstLine="656"/>
        <w:spacing w:after="0" w:line="286" w:lineRule="auto"/>
        <w:tabs>
          <w:tab w:leader="none" w:pos="9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contracts made and to be performed in such state without giving effect to its principles of conflicts of laws.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part of this Agreement or to affect the construction or interpretation thereof.</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9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of which together shall constitute one and the same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date first written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Etoiles Capital Group Co., Ltd</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Kit Shing, Cheung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Heung Ping, Wong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Signature Page to Indemnification Agreement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4"/>
    </w:lvl>
    <w:lvl w:ilvl="1">
      <w:lvlJc w:val="left"/>
      <w:lvlText w:val="(%2)"/>
      <w:numFmt w:val="lowerLetter"/>
      <w:start w:val="1"/>
    </w:lvl>
  </w:abstractNum>
  <w:abstractNum w:abstractNumId="2">
    <w:nsid w:val="1F16E9E8"/>
    <w:multiLevelType w:val="hybridMultilevel"/>
    <w:lvl w:ilvl="0">
      <w:lvlJc w:val="left"/>
      <w:lvlText w:val="%1."/>
      <w:numFmt w:val="decimal"/>
      <w:start w:val="8"/>
    </w:lvl>
  </w:abstractNum>
  <w:abstractNum w:abstractNumId="3">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66EF438D"/>
    <w:multiLevelType w:val="hybridMultilevel"/>
    <w:lvl w:ilvl="0">
      <w:lvlJc w:val="left"/>
      <w:lvlText w:val="%1"/>
      <w:numFmt w:val="lowerLetter"/>
      <w:start w:val="1"/>
    </w:lvl>
    <w:lvl w:ilvl="1">
      <w:lvlJc w:val="left"/>
      <w:lvlText w:val="(%2)"/>
      <w:numFmt w:val="lowerRoman"/>
      <w:start w:val="4"/>
    </w:lvl>
  </w:abstractNum>
  <w:abstractNum w:abstractNumId="5">
    <w:nsid w:val="140E0F76"/>
    <w:multiLevelType w:val="hybridMultilevel"/>
    <w:lvl w:ilvl="0">
      <w:lvlJc w:val="left"/>
      <w:lvlText w:val="(%1)"/>
      <w:numFmt w:val="lowerLetter"/>
      <w:start w:val="3"/>
    </w:lvl>
    <w:lvl w:ilvl="1">
      <w:lvlJc w:val="left"/>
      <w:lvlText w:val="(%2)"/>
      <w:numFmt w:val="lowerRoman"/>
      <w:start w:val="1"/>
    </w:lvl>
  </w:abstractNum>
  <w:abstractNum w:abstractNumId="6">
    <w:nsid w:val="3352255A"/>
    <w:multiLevelType w:val="hybridMultilevel"/>
    <w:lvl w:ilvl="0">
      <w:lvlJc w:val="left"/>
      <w:lvlText w:val="%1"/>
      <w:numFmt w:val="decimal"/>
      <w:start w:val="1"/>
    </w:lvl>
    <w:lvl w:ilvl="1">
      <w:lvlJc w:val="left"/>
      <w:lvlText w:val="(%2)"/>
      <w:numFmt w:val="lowerLetter"/>
      <w:start w:val="10"/>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6"/>
    </w:lvl>
    <w:lvl w:ilvl="1">
      <w:lvlJc w:val="left"/>
      <w:lvlText w:val="(%2)"/>
      <w:numFmt w:val="lowerLetter"/>
      <w:start w:val="1"/>
    </w:lvl>
  </w:abstractNum>
  <w:abstractNum w:abstractNumId="9">
    <w:nsid w:val="7FDCC233"/>
    <w:multiLevelType w:val="hybridMultilevel"/>
    <w:lvl w:ilvl="0">
      <w:lvlJc w:val="left"/>
      <w:lvlText w:val="(%1)"/>
      <w:numFmt w:val="lowerLetter"/>
      <w:start w:val="1"/>
    </w:lvl>
    <w:lvl w:ilvl="1">
      <w:lvlJc w:val="left"/>
      <w:lvlText w:val="(%2)"/>
      <w:numFmt w:val="lowerRoman"/>
      <w:start w:val="1"/>
    </w:lvl>
  </w:abstractNum>
  <w:abstractNum w:abstractNumId="10">
    <w:nsid w:val="1BEFD79F"/>
    <w:multiLevelType w:val="hybridMultilevel"/>
    <w:lvl w:ilvl="0">
      <w:lvlJc w:val="left"/>
      <w:lvlText w:val="(%1)"/>
      <w:numFmt w:val="lowerLetter"/>
      <w:start w:val="2"/>
    </w:lvl>
    <w:lvl w:ilvl="1">
      <w:lvlJc w:val="left"/>
      <w:lvlText w:val="(%2)"/>
      <w:numFmt w:val="lowerRoman"/>
      <w:start w:val="1"/>
    </w:lvl>
  </w:abstractNum>
  <w:abstractNum w:abstractNumId="11">
    <w:nsid w:val="41A7C4C9"/>
    <w:multiLevelType w:val="hybridMultilevel"/>
    <w:lvl w:ilvl="0">
      <w:lvlJc w:val="left"/>
      <w:lvlText w:val="%1"/>
      <w:numFmt w:val="lowerLetter"/>
      <w:start w:val="1"/>
    </w:lvl>
    <w:lvl w:ilvl="1">
      <w:lvlJc w:val="left"/>
      <w:lvlText w:val="(%2)"/>
      <w:numFmt w:val="lowerLetter"/>
      <w:start w:val="5"/>
    </w:lvl>
  </w:abstractNum>
  <w:abstractNum w:abstractNumId="12">
    <w:nsid w:val="6B68079A"/>
    <w:multiLevelType w:val="hybridMultilevel"/>
    <w:lvl w:ilvl="0">
      <w:lvlJc w:val="left"/>
      <w:lvlText w:val="(%1)"/>
      <w:numFmt w:val="lowerLetter"/>
      <w:start w:val="35"/>
    </w:lvl>
    <w:lvl w:ilvl="1">
      <w:lvlJc w:val="left"/>
      <w:lvlText w:val="%2"/>
      <w:numFmt w:val="lowerLetter"/>
      <w:start w:val="1"/>
    </w:lvl>
  </w:abstractNum>
  <w:abstractNum w:abstractNumId="13">
    <w:nsid w:val="4E6AFB66"/>
    <w:multiLevelType w:val="hybridMultilevel"/>
    <w:lvl w:ilvl="0">
      <w:lvlJc w:val="left"/>
      <w:lvlText w:val="(%1)"/>
      <w:numFmt w:val="lowerLetter"/>
      <w:start w:val="6"/>
    </w:lvl>
    <w:lvl w:ilvl="1">
      <w:lvlJc w:val="left"/>
      <w:lvlText w:val="(%2)"/>
      <w:numFmt w:val="lowerRoman"/>
      <w:start w:val="1"/>
    </w:lvl>
  </w:abstractNum>
  <w:abstractNum w:abstractNumId="14">
    <w:nsid w:val="25E45D32"/>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
    <w:nsid w:val="431BD7B7"/>
    <w:multiLevelType w:val="hybridMultilevel"/>
    <w:lvl w:ilvl="0">
      <w:lvlJc w:val="left"/>
      <w:lvlText w:val="%1."/>
      <w:numFmt w:val="decimal"/>
      <w:start w:val="13"/>
    </w:lvl>
  </w:abstractNum>
  <w:abstractNum w:abstractNumId="17">
    <w:nsid w:val="3F2DBA31"/>
    <w:multiLevelType w:val="hybridMultilevel"/>
    <w:lvl w:ilvl="0">
      <w:lvlJc w:val="left"/>
      <w:lvlText w:val="%1."/>
      <w:numFmt w:val="decimal"/>
      <w:start w:val="19"/>
    </w:lvl>
    <w:lvl w:ilvl="1">
      <w:lvlJc w:val="left"/>
      <w:lvlText w:val="(%2)"/>
      <w:numFmt w:val="lowerLetter"/>
      <w:start w:val="1"/>
    </w:lvl>
  </w:abstractNum>
  <w:abstractNum w:abstractNumId="18">
    <w:nsid w:val="7C83E45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2025-11-04T07:08:50Z</dcterms:created>
  <dcterms:modified xsi:type="dcterms:W3CDTF">2025-11-04T07:08:50Z</dcterms:modified>
</cp:coreProperties>
</file>