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750" w:type="dxa"/>
        <w:tblCellMar>
          <w:top w:w="0" w:type="dxa"/>
          <w:left w:w="0" w:type="dxa"/>
          <w:bottom w:w="0" w:type="dxa"/>
          <w:right w:w="0" w:type="dxa"/>
        </w:tblCellMar>
      </w:tblPr>
      <w:tr>
        <w:trPr>
          <w:trHeight w:val="277"/>
        </w:trPr>
        <w:tc>
          <w:tcPr>
            <w:tcW w:w="22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SEC File Number</w:t>
            </w:r>
          </w:p>
        </w:tc>
        <w:tc>
          <w:tcPr>
            <w:tcW w:w="224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001-42793</w:t>
            </w:r>
          </w:p>
        </w:tc>
      </w:tr>
    </w:tbl>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08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 xml:space="preserve">For Period Ended: </w:t>
      </w:r>
      <w:r>
        <w:rPr>
          <w:rFonts w:ascii="Times New Roman" w:cs="Times New Roman" w:eastAsia="Times New Roman" w:hAnsi="Times New Roman"/>
          <w:sz w:val="18"/>
          <w:szCs w:val="18"/>
          <w:b w:val="1"/>
          <w:bCs w:val="1"/>
          <w:u w:val="single" w:color="auto"/>
          <w:color w:val="auto"/>
        </w:rPr>
        <w:t>December 31, 2025</w:t>
      </w:r>
    </w:p>
    <w:p>
      <w:pPr>
        <w:spacing w:after="0" w:line="229" w:lineRule="exact"/>
        <w:rPr>
          <w:sz w:val="24"/>
          <w:szCs w:val="24"/>
          <w:color w:val="auto"/>
        </w:rPr>
      </w:pPr>
    </w:p>
    <w:p>
      <w:pPr>
        <w:ind w:left="1300" w:hanging="199"/>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1300" w:hanging="199"/>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1300" w:hanging="199"/>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1100" w:right="7580" w:firstLine="1"/>
        <w:spacing w:after="0" w:line="532" w:lineRule="auto"/>
        <w:tabs>
          <w:tab w:leader="none" w:pos="13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-184785</wp:posOffset>
            </wp:positionV>
            <wp:extent cx="1856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ind w:right="480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Unit 03-04, 25/F, Cosco Tower, 183 Queen’s Road Central, Sheung Wan, Hong Kong </w:t>
      </w: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reasons described in reasonable detail in Part III of this form could not be eliminated without unreasonable effort or expense;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27" w:lineRule="exact"/>
        <w:rPr>
          <w:sz w:val="20"/>
          <w:szCs w:val="20"/>
          <w:color w:val="auto"/>
        </w:rPr>
      </w:pPr>
    </w:p>
    <w:p>
      <w:pPr>
        <w:ind w:left="660" w:hanging="652"/>
        <w:spacing w:after="0" w:line="190" w:lineRule="auto"/>
        <w:tabs>
          <w:tab w:leader="none" w:pos="336"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35"/>
          <w:szCs w:val="35"/>
          <w:color w:val="auto"/>
          <w:vertAlign w:val="subscript"/>
        </w:rPr>
        <w:t>(b)</w:t>
      </w:r>
      <w:r>
        <w:rPr>
          <w:rFonts w:ascii="Times New Roman" w:cs="Times New Roman" w:eastAsia="Times New Roman" w:hAnsi="Times New Roman"/>
          <w:sz w:val="18"/>
          <w:szCs w:val="18"/>
          <w:color w:val="auto"/>
        </w:rPr>
        <w:t xml:space="preserve">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99"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Etoiles Capital Group Co., Ltd. (the “Company”) is filing this Notification of Late Filing on Form 12b-25 with respect to its annual report on Form 20-F for its fiscal year ended December 31, 2025 (the “Annual Report”). The Company has determined that it is unable to file its Annual Report within the prescribed time period without unreasonable effort or expense because the Company requires additional time to review its financial statements to finalize the Annual Report. The Company expects to file the Annual Report on or before the fifteenth calendar day extension provided by Rule 12b-25.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 extra Sheets if Needed)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Kit Shing, CHEUNG</w:t>
            </w:r>
          </w:p>
        </w:tc>
        <w:tc>
          <w:tcPr>
            <w:tcW w:w="38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0"/>
                <w:szCs w:val="20"/>
                <w:color w:val="auto"/>
              </w:rPr>
            </w:pPr>
          </w:p>
        </w:tc>
        <w:tc>
          <w:tcPr>
            <w:tcW w:w="33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2398 8699</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120" w:type="dxa"/>
            <w:vAlign w:val="bottom"/>
          </w:tcPr>
          <w:p>
            <w:pPr>
              <w:spacing w:after="0"/>
              <w:rPr>
                <w:sz w:val="20"/>
                <w:szCs w:val="20"/>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10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146050</wp:posOffset>
            </wp:positionV>
            <wp:extent cx="69265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146050</wp:posOffset>
            </wp:positionV>
            <wp:extent cx="69265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Kit Shing,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67722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Kit Shing, CHEUNG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Director, Chief Executive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2026-04-30T09:23:54Z</dcterms:created>
  <dcterms:modified xsi:type="dcterms:W3CDTF">2026-04-30T09:23:54Z</dcterms:modified>
</cp:coreProperties>
</file>