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Default Extension="png" ContentType="image/png"/>
  <Default Extension="jpeg" ContentType="image/jpeg"/>
  <Override PartName="/_rels/.rels" ContentType="application/vnd.openxmlformats-package.relationships+xml"/>
  <Override PartName="/docProps/core.xml" ContentType="application/vnd.openxmlformats-package.core-properties+xml"/>
  <Override PartName="/docProps/app.xml" ContentType="application/vnd.openxmlformats-officedocument.extended-properties+xml"/>
  <Override PartName="/word/_rels/document.xml.rels" ContentType="application/vnd.openxmlformats-package.relationship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fontTable.xml" ContentType="application/vnd.openxmlformats-officedocument.wordprocessingml.fontTable+xml"/>
  <Override PartName="/word/settings.xml" ContentType="application/vnd.openxmlformats-officedocument.wordprocessingml.settings+xml"/>
</Types>
</file>

<file path=_rels/.rels><?xml version="1.0" encoding="UTF-8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officeDocument" Target="word/document.xml"/>
</Relationships>
</file>

<file path=word/document.xml><?xml version="1.0" encoding="utf-8"?>
<w:document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xmlns:w15="http://schemas.microsoft.com/office/word/2012/wordml" mc:Ignorable="w14 wp14 w15">
  <w:body>
    <w:p>
      <w:pPr>
        <w:pStyle w:val="TextBody"/>
        <w:bidi w:val="0"/>
        <w:spacing w:before="0" w:after="0"/>
        <w:jc w:val="left"/>
        <w:rPr/>
      </w:pPr>
      <w:bookmarkStart w:id="0" w:name="ownership.xml.htm"/>
      <w:bookmarkStart w:id="1" w:name="ksownership"/>
      <w:bookmarkEnd w:id="0"/>
      <w:bookmarkEnd w:id="1"/>
      <w:r>
        <w:rPr/>
        <w:t xml:space="preserve">SEC Form 3 </w:t>
      </w:r>
    </w:p>
    <w:tbl>
      <w:tblPr>
        <w:tblW w:w="5000" w:type="pct"/>
        <w:jc w:val="left"/>
        <w:tblInd w:w="0" w:type="dxa"/>
        <w:tblLayout w:type="fixed"/>
        <w:tblCellMar>
          <w:top w:w="60" w:type="dxa"/>
          <w:left w:w="60" w:type="dxa"/>
          <w:bottom w:w="60" w:type="dxa"/>
          <w:right w:w="60" w:type="dxa"/>
        </w:tblCellMar>
      </w:tblPr>
      <w:tblGrid>
        <w:gridCol w:w="2040"/>
        <w:gridCol w:w="6124"/>
        <w:gridCol w:w="2041"/>
      </w:tblGrid>
      <w:tr>
        <w:trPr/>
        <w:tc>
          <w:tcPr>
            <w:tcW w:w="2040" w:type="dxa"/>
            <w:tcBorders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arial;helvetica;sans-serif" w:hAnsi="arial;helvetica;sans-serif"/>
                <w:b/>
                <w:sz w:val="36"/>
              </w:rPr>
            </w:pPr>
            <w:r>
              <w:rPr>
                <w:rFonts w:ascii="arial;helvetica;sans-serif" w:hAnsi="arial;helvetica;sans-serif"/>
                <w:b/>
                <w:sz w:val="36"/>
              </w:rPr>
              <w:t>FORM 3</w:t>
            </w:r>
          </w:p>
        </w:tc>
        <w:tc>
          <w:tcPr>
            <w:tcW w:w="6124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>
                <w:rFonts w:ascii="arial;helvetica;sans-serif" w:hAnsi="arial;helvetica;sans-serif"/>
                <w:b/>
                <w:sz w:val="28"/>
              </w:rPr>
              <w:t>UNITED STATES SECURITIES AND EXCHANGE COMMISSION</w:t>
            </w:r>
            <w:r>
              <w:rPr/>
              <w:br/>
            </w:r>
            <w:r>
              <w:rPr>
                <w:rFonts w:ascii="arial;helvetica;sans-serif" w:hAnsi="arial;helvetica;sans-serif"/>
                <w:sz w:val="20"/>
              </w:rPr>
              <w:t>Washington, D.C. 20549</w:t>
            </w:r>
            <w:r>
              <w:rPr/>
              <w:br/>
              <w:br/>
            </w:r>
            <w:r>
              <w:rPr>
                <w:rFonts w:ascii="arial;helvetica;sans-serif" w:hAnsi="arial;helvetica;sans-serif"/>
                <w:b/>
                <w:sz w:val="28"/>
              </w:rPr>
              <w:t>INITIAL STATEMENT OF BENEFICIAL OWNERSHIP OF SECURITIES</w:t>
            </w:r>
            <w:r>
              <w:rPr/>
              <w:br/>
              <w:br/>
            </w:r>
            <w:r>
              <w:rPr>
                <w:rFonts w:ascii="arial;helvetica;sans-serif" w:hAnsi="arial;helvetica;sans-serif"/>
                <w:sz w:val="20"/>
              </w:rPr>
              <w:t>Filed pursuant to Section 16(a) of the Securities Exchange Act of 1934</w:t>
            </w:r>
            <w:r>
              <w:rPr/>
              <w:br/>
            </w:r>
            <w:r>
              <w:rPr>
                <w:rFonts w:ascii="arial;helvetica;sans-serif" w:hAnsi="arial;helvetica;sans-serif"/>
                <w:sz w:val="20"/>
              </w:rPr>
              <w:t>or Section 30(h) of the Investment Company Act of 1940</w:t>
            </w:r>
          </w:p>
        </w:tc>
        <w:tc>
          <w:tcPr>
            <w:tcW w:w="2041" w:type="dxa"/>
            <w:tcBorders/>
          </w:tcPr>
          <w:p>
            <w:pPr>
              <w:pStyle w:val="TableContents"/>
              <w:bidi w:val="0"/>
              <w:spacing w:before="0" w:after="0"/>
              <w:jc w:val="center"/>
              <w:rPr/>
            </w:pPr>
            <w:r>
              <w:rPr/>
              <w:t> </w:t>
            </w:r>
          </w:p>
          <w:tbl>
            <w:tblPr>
              <w:tblW w:w="5000" w:type="pct"/>
              <w:jc w:val="center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1921"/>
            </w:tblGrid>
            <w:tr>
              <w:trPr/>
              <w:tc>
                <w:tcPr>
                  <w:tcW w:w="1921" w:type="dxa"/>
                  <w:tcBorders>
                    <w:top w:val="double" w:sz="2" w:space="0" w:color="808080"/>
                    <w:left w:val="double" w:sz="2" w:space="0" w:color="808080"/>
                    <w:bottom w:val="double" w:sz="2" w:space="0" w:color="808080"/>
                    <w:right w:val="double" w:sz="2" w:space="0" w:color="808080"/>
                  </w:tcBorders>
                  <w:vAlign w:val="center"/>
                </w:tcPr>
                <w:p>
                  <w:pPr>
                    <w:pStyle w:val="TableContents"/>
                    <w:bidi w:val="0"/>
                    <w:spacing w:before="0" w:after="0"/>
                    <w:jc w:val="center"/>
                    <w:rPr>
                      <w:rFonts w:ascii="arial;helvetica;sans-serif" w:hAnsi="arial;helvetica;sans-serif"/>
                      <w:b w:val="false"/>
                      <w:sz w:val="24"/>
                    </w:rPr>
                  </w:pPr>
                  <w:r>
                    <w:rPr>
                      <w:rFonts w:ascii="arial;helvetica;sans-serif" w:hAnsi="arial;helvetica;sans-serif"/>
                      <w:b w:val="false"/>
                      <w:sz w:val="24"/>
                    </w:rPr>
                    <w:t>OMB APPROVAL</w:t>
                  </w:r>
                </w:p>
                <w:tbl>
                  <w:tblPr>
                    <w:tblW w:w="5000" w:type="pct"/>
                    <w:jc w:val="left"/>
                    <w:tblInd w:w="0" w:type="dxa"/>
                    <w:tblLayout w:type="fixed"/>
                    <w:tblCellMar>
                      <w:top w:w="28" w:type="dxa"/>
                      <w:left w:w="28" w:type="dxa"/>
                      <w:bottom w:w="28" w:type="dxa"/>
                      <w:right w:w="28" w:type="dxa"/>
                    </w:tblCellMar>
                  </w:tblPr>
                  <w:tblGrid>
                    <w:gridCol w:w="1178"/>
                    <w:gridCol w:w="687"/>
                  </w:tblGrid>
                  <w:tr>
                    <w:trPr/>
                    <w:tc>
                      <w:tcPr>
                        <w:tcW w:w="1178" w:type="dxa"/>
                        <w:tcBorders/>
                        <w:vAlign w:val="center"/>
                      </w:tcPr>
                      <w:p>
                        <w:pPr>
                          <w:pStyle w:val="TableContents"/>
                          <w:bidi w:val="0"/>
                          <w:spacing w:before="0" w:after="283"/>
                          <w:jc w:val="left"/>
                          <w:rPr>
                            <w:rFonts w:ascii="arial;helvetica;sans-serif" w:hAnsi="arial;helvetica;sans-serif"/>
                            <w:sz w:val="14"/>
                          </w:rPr>
                        </w:pPr>
                        <w:r>
                          <w:rPr>
                            <w:rFonts w:ascii="arial;helvetica;sans-serif" w:hAnsi="arial;helvetica;sans-serif"/>
                            <w:sz w:val="14"/>
                          </w:rPr>
                          <w:t>OMB Number:</w:t>
                        </w:r>
                      </w:p>
                    </w:tc>
                    <w:tc>
                      <w:tcPr>
                        <w:tcW w:w="687" w:type="dxa"/>
                        <w:tcBorders/>
                        <w:vAlign w:val="center"/>
                      </w:tcPr>
                      <w:p>
                        <w:pPr>
                          <w:pStyle w:val="TableContents"/>
                          <w:bidi w:val="0"/>
                          <w:spacing w:before="0" w:after="283"/>
                          <w:jc w:val="right"/>
                          <w:rPr>
                            <w:rFonts w:ascii="arial;helvetica;sans-serif" w:hAnsi="arial;helvetica;sans-serif"/>
                            <w:sz w:val="14"/>
                          </w:rPr>
                        </w:pPr>
                        <w:r>
                          <w:rPr>
                            <w:rFonts w:ascii="arial;helvetica;sans-serif" w:hAnsi="arial;helvetica;sans-serif"/>
                            <w:sz w:val="14"/>
                          </w:rPr>
                          <w:t>3235-0104</w:t>
                        </w:r>
                      </w:p>
                    </w:tc>
                  </w:tr>
                  <w:tr>
                    <w:trPr/>
                    <w:tc>
                      <w:tcPr>
                        <w:tcW w:w="1865" w:type="dxa"/>
                        <w:gridSpan w:val="2"/>
                        <w:tcBorders/>
                        <w:vAlign w:val="center"/>
                      </w:tcPr>
                      <w:p>
                        <w:pPr>
                          <w:pStyle w:val="TableContents"/>
                          <w:bidi w:val="0"/>
                          <w:spacing w:before="0" w:after="283"/>
                          <w:jc w:val="left"/>
                          <w:rPr>
                            <w:rFonts w:ascii="arial;helvetica;sans-serif" w:hAnsi="arial;helvetica;sans-serif"/>
                            <w:sz w:val="14"/>
                          </w:rPr>
                        </w:pPr>
                        <w:r>
                          <w:rPr>
                            <w:rFonts w:ascii="arial;helvetica;sans-serif" w:hAnsi="arial;helvetica;sans-serif"/>
                            <w:sz w:val="14"/>
                          </w:rPr>
                          <w:t>Estimated average burden</w:t>
                        </w:r>
                      </w:p>
                    </w:tc>
                  </w:tr>
                  <w:tr>
                    <w:trPr/>
                    <w:tc>
                      <w:tcPr>
                        <w:tcW w:w="1178" w:type="dxa"/>
                        <w:tcBorders/>
                        <w:vAlign w:val="center"/>
                      </w:tcPr>
                      <w:p>
                        <w:pPr>
                          <w:pStyle w:val="TableContents"/>
                          <w:bidi w:val="0"/>
                          <w:spacing w:before="0" w:after="283"/>
                          <w:jc w:val="left"/>
                          <w:rPr>
                            <w:rFonts w:ascii="arial;helvetica;sans-serif" w:hAnsi="arial;helvetica;sans-serif"/>
                            <w:sz w:val="14"/>
                          </w:rPr>
                        </w:pPr>
                        <w:r>
                          <w:rPr>
                            <w:rFonts w:ascii="arial;helvetica;sans-serif" w:hAnsi="arial;helvetica;sans-serif"/>
                            <w:sz w:val="14"/>
                          </w:rPr>
                          <w:t>hours per response:</w:t>
                        </w:r>
                      </w:p>
                    </w:tc>
                    <w:tc>
                      <w:tcPr>
                        <w:tcW w:w="687" w:type="dxa"/>
                        <w:tcBorders/>
                        <w:vAlign w:val="center"/>
                      </w:tcPr>
                      <w:p>
                        <w:pPr>
                          <w:pStyle w:val="TableContents"/>
                          <w:bidi w:val="0"/>
                          <w:spacing w:before="0" w:after="283"/>
                          <w:jc w:val="right"/>
                          <w:rPr>
                            <w:rFonts w:ascii="arial;helvetica;sans-serif" w:hAnsi="arial;helvetica;sans-serif"/>
                            <w:sz w:val="14"/>
                          </w:rPr>
                        </w:pPr>
                        <w:r>
                          <w:rPr>
                            <w:rFonts w:ascii="arial;helvetica;sans-serif" w:hAnsi="arial;helvetica;sans-serif"/>
                            <w:sz w:val="14"/>
                          </w:rPr>
                          <w:t>0.5</w:t>
                        </w:r>
                      </w:p>
                    </w:tc>
                  </w:tr>
                </w:tbl>
                <w:p>
                  <w:pPr>
                    <w:pStyle w:val="TableContents"/>
                    <w:bidi w:val="0"/>
                    <w:spacing w:before="0" w:after="283"/>
                    <w:jc w:val="left"/>
                    <w:rPr/>
                  </w:pPr>
                  <w:r>
                    <w:rPr/>
                  </w:r>
                </w:p>
              </w:tc>
            </w:tr>
            <w:tr>
              <w:trPr/>
              <w:tc>
                <w:tcPr>
                  <w:tcW w:w="1921" w:type="dxa"/>
                  <w:tcBorders>
                    <w:left w:val="double" w:sz="2" w:space="0" w:color="808080"/>
                    <w:bottom w:val="double" w:sz="2" w:space="0" w:color="808080"/>
                    <w:right w:val="double" w:sz="2" w:space="0" w:color="808080"/>
                  </w:tcBorders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sz w:val="4"/>
                      <w:szCs w:val="4"/>
                    </w:rPr>
                  </w:pPr>
                  <w:r>
                    <w:rPr>
                      <w:sz w:val="4"/>
                      <w:szCs w:val="4"/>
                    </w:rPr>
                  </w:r>
                </w:p>
              </w:tc>
            </w:tr>
          </w:tbl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</w:tbl>
    <w:tbl>
      <w:tblPr>
        <w:tblW w:w="5000" w:type="pct"/>
        <w:jc w:val="left"/>
        <w:tblInd w:w="-7" w:type="dxa"/>
        <w:tblLayout w:type="fixed"/>
        <w:tblCellMar>
          <w:top w:w="60" w:type="dxa"/>
          <w:left w:w="60" w:type="dxa"/>
          <w:bottom w:w="60" w:type="dxa"/>
          <w:right w:w="60" w:type="dxa"/>
        </w:tblCellMar>
      </w:tblPr>
      <w:tblGrid>
        <w:gridCol w:w="3061"/>
        <w:gridCol w:w="1530"/>
        <w:gridCol w:w="3062"/>
        <w:gridCol w:w="2552"/>
      </w:tblGrid>
      <w:tr>
        <w:trPr/>
        <w:tc>
          <w:tcPr>
            <w:tcW w:w="3061" w:type="dxa"/>
            <w:vMerge w:val="restart"/>
            <w:tcBorders>
              <w:top w:val="single" w:sz="6" w:space="0" w:color="808080"/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0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1. Name and Address of Reporting Person</w:t>
            </w:r>
            <w:r>
              <w:rPr>
                <w:rFonts w:ascii="arial;helvetica;sans-serif" w:hAnsi="arial;helvetica;sans-serif"/>
                <w:position w:val="7"/>
                <w:sz w:val="16"/>
                <w:sz w:val="20"/>
              </w:rPr>
              <w:t>*</w:t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2941"/>
            </w:tblGrid>
            <w:tr>
              <w:trPr/>
              <w:tc>
                <w:tcPr>
                  <w:tcW w:w="294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/>
                  </w:pPr>
                  <w:hyperlink r:id="rId2">
                    <w:r>
                      <w:rPr>
                        <w:rStyle w:val="InternetLink"/>
                      </w:rPr>
                      <w:t>YANG NANCY</w:t>
                    </w:r>
                  </w:hyperlink>
                </w:p>
              </w:tc>
            </w:tr>
          </w:tbl>
          <w:p>
            <w:pPr>
              <w:pStyle w:val="HorizontalLine"/>
              <w:pBdr>
                <w:bottom w:val="double" w:sz="2" w:space="0" w:color="808080"/>
              </w:pBdr>
              <w:bidi w:val="0"/>
              <w:spacing w:before="0" w:after="283"/>
              <w:jc w:val="left"/>
              <w:rPr/>
            </w:pPr>
            <w:r>
              <w:rPr/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980"/>
              <w:gridCol w:w="980"/>
              <w:gridCol w:w="981"/>
            </w:tblGrid>
            <w:tr>
              <w:trPr/>
              <w:tc>
                <w:tcPr>
                  <w:tcW w:w="98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(Last)</w:t>
                  </w:r>
                </w:p>
              </w:tc>
              <w:tc>
                <w:tcPr>
                  <w:tcW w:w="98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(First)</w:t>
                  </w:r>
                </w:p>
              </w:tc>
              <w:tc>
                <w:tcPr>
                  <w:tcW w:w="98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(Middle)</w:t>
                  </w:r>
                </w:p>
              </w:tc>
            </w:tr>
          </w:tbl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2941"/>
            </w:tblGrid>
            <w:tr>
              <w:trPr/>
              <w:tc>
                <w:tcPr>
                  <w:tcW w:w="294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</w:pPr>
                  <w:r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  <w:t>UNIT 03-04, 25/F, COSCO TOWER</w:t>
                  </w:r>
                </w:p>
              </w:tc>
            </w:tr>
            <w:tr>
              <w:trPr/>
              <w:tc>
                <w:tcPr>
                  <w:tcW w:w="294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</w:pPr>
                  <w:r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  <w:t>183 QUEEN'S ROAD CENTRAL, SHEUNG WAN</w:t>
                  </w:r>
                </w:p>
              </w:tc>
            </w:tr>
          </w:tbl>
          <w:p>
            <w:pPr>
              <w:pStyle w:val="HorizontalLine"/>
              <w:pBdr>
                <w:bottom w:val="double" w:sz="2" w:space="0" w:color="808080"/>
              </w:pBdr>
              <w:bidi w:val="0"/>
              <w:spacing w:before="0" w:after="283"/>
              <w:jc w:val="left"/>
              <w:rPr/>
            </w:pPr>
            <w:r>
              <w:rPr/>
            </w:r>
          </w:p>
          <w:p>
            <w:pPr>
              <w:pStyle w:val="TableContents"/>
              <w:bidi w:val="0"/>
              <w:spacing w:before="0" w:after="0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(Street)</w:t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980"/>
              <w:gridCol w:w="980"/>
              <w:gridCol w:w="981"/>
            </w:tblGrid>
            <w:tr>
              <w:trPr/>
              <w:tc>
                <w:tcPr>
                  <w:tcW w:w="98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</w:pPr>
                  <w:r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  <w:t>HONG KONG</w:t>
                  </w:r>
                </w:p>
              </w:tc>
              <w:tc>
                <w:tcPr>
                  <w:tcW w:w="98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</w:pPr>
                  <w:r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  <w:t>NJ</w:t>
                  </w:r>
                </w:p>
              </w:tc>
              <w:tc>
                <w:tcPr>
                  <w:tcW w:w="98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</w:pPr>
                  <w:r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  <w:t>0000</w:t>
                  </w:r>
                </w:p>
              </w:tc>
            </w:tr>
          </w:tbl>
          <w:p>
            <w:pPr>
              <w:pStyle w:val="HorizontalLine"/>
              <w:pBdr>
                <w:bottom w:val="double" w:sz="2" w:space="0" w:color="808080"/>
              </w:pBdr>
              <w:bidi w:val="0"/>
              <w:spacing w:before="0" w:after="283"/>
              <w:jc w:val="left"/>
              <w:rPr/>
            </w:pPr>
            <w:r>
              <w:rPr/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980"/>
              <w:gridCol w:w="980"/>
              <w:gridCol w:w="981"/>
            </w:tblGrid>
            <w:tr>
              <w:trPr/>
              <w:tc>
                <w:tcPr>
                  <w:tcW w:w="98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(City)</w:t>
                  </w:r>
                </w:p>
              </w:tc>
              <w:tc>
                <w:tcPr>
                  <w:tcW w:w="98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(State)</w:t>
                  </w:r>
                </w:p>
              </w:tc>
              <w:tc>
                <w:tcPr>
                  <w:tcW w:w="98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(Zip)</w:t>
                  </w:r>
                </w:p>
              </w:tc>
            </w:tr>
          </w:tbl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1530" w:type="dxa"/>
            <w:vMerge w:val="restart"/>
            <w:tcBorders>
              <w:top w:val="single" w:sz="6" w:space="0" w:color="808080"/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>
                <w:rFonts w:ascii="arial;helvetica;sans-serif" w:hAnsi="arial;helvetica;sans-serif"/>
                <w:sz w:val="20"/>
              </w:rPr>
              <w:t>2. Date of Event Requiring Statement (Month/Day/Year)</w:t>
            </w:r>
            <w:r>
              <w:rPr/>
              <w:br/>
            </w: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08/01/2026</w:t>
            </w:r>
          </w:p>
        </w:tc>
        <w:tc>
          <w:tcPr>
            <w:tcW w:w="5614" w:type="dxa"/>
            <w:gridSpan w:val="2"/>
            <w:tcBorders>
              <w:top w:val="single" w:sz="6" w:space="0" w:color="808080"/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>
                <w:rFonts w:ascii="arial;helvetica;sans-serif" w:hAnsi="arial;helvetica;sans-serif"/>
                <w:sz w:val="20"/>
              </w:rPr>
              <w:t xml:space="preserve">3. Issuer Name </w:t>
            </w:r>
            <w:r>
              <w:rPr>
                <w:rFonts w:ascii="arial;helvetica;sans-serif" w:hAnsi="arial;helvetica;sans-serif"/>
                <w:b/>
                <w:sz w:val="20"/>
              </w:rPr>
              <w:t>and</w:t>
            </w:r>
            <w:r>
              <w:rPr>
                <w:rFonts w:ascii="arial;helvetica;sans-serif" w:hAnsi="arial;helvetica;sans-serif"/>
                <w:sz w:val="20"/>
              </w:rPr>
              <w:t xml:space="preserve"> Ticker or Trading Symbol </w:t>
            </w:r>
            <w:r>
              <w:rPr/>
              <w:br/>
            </w:r>
            <w:hyperlink r:id="rId3">
              <w:r>
                <w:rPr>
                  <w:rStyle w:val="InternetLink"/>
                </w:rPr>
                <w:t>ETOILES CAPITAL GROUP CO., LTD</w:t>
              </w:r>
            </w:hyperlink>
            <w:r>
              <w:rPr/>
              <w:t xml:space="preserve"> [ </w:t>
            </w: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EFTY</w:t>
            </w:r>
            <w:r>
              <w:rPr/>
              <w:t xml:space="preserve"> ] </w:t>
              <w:br/>
            </w:r>
            <w:r>
              <w:rPr>
                <w:rFonts w:ascii="arial;helvetica;sans-serif" w:hAnsi="arial;helvetica;sans-serif"/>
                <w:sz w:val="20"/>
              </w:rPr>
              <w:t>Foreign Trading Symbol</w:t>
            </w:r>
          </w:p>
        </w:tc>
      </w:tr>
      <w:tr>
        <w:trPr/>
        <w:tc>
          <w:tcPr>
            <w:tcW w:w="3061" w:type="dxa"/>
            <w:vMerge w:val="continue"/>
            <w:tcBorders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1530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3062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0"/>
              <w:jc w:val="left"/>
              <w:rPr/>
            </w:pPr>
            <w:r>
              <w:rPr>
                <w:rFonts w:ascii="arial;helvetica;sans-serif" w:hAnsi="arial;helvetica;sans-serif"/>
                <w:sz w:val="20"/>
              </w:rPr>
              <w:t xml:space="preserve">4. Relationship of Reporting Person(s) to Issuer </w:t>
            </w:r>
            <w:r>
              <w:rPr/>
              <w:br/>
            </w:r>
            <w:r>
              <w:rPr>
                <w:rFonts w:ascii="arial;helvetica;sans-serif" w:hAnsi="arial;helvetica;sans-serif"/>
                <w:sz w:val="20"/>
              </w:rPr>
              <w:t>(Check all applicable)</w:t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440"/>
              <w:gridCol w:w="1031"/>
              <w:gridCol w:w="440"/>
              <w:gridCol w:w="1031"/>
            </w:tblGrid>
            <w:tr>
              <w:trPr/>
              <w:tc>
                <w:tcPr>
                  <w:tcW w:w="44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center"/>
                    <w:rPr>
                      <w:color w:val="0000FF"/>
                      <w:shd w:fill="FFFFFF" w:val="clear"/>
                    </w:rPr>
                  </w:pPr>
                  <w:r>
                    <w:rPr>
                      <w:color w:val="0000FF"/>
                      <w:shd w:fill="FFFFFF" w:val="clear"/>
                    </w:rPr>
                    <w:drawing>
                      <wp:inline distT="0" distB="0" distL="0" distR="0">
                        <wp:extent cx="142875" cy="142875"/>
                        <wp:effectExtent l="0" t="0" r="0" b="0"/>
                        <wp:docPr id="1" name="Image1" descr=""/>
                        <wp:cNvGraphicFramePr>
                          <a:graphicFrameLocks xmlns:a="http://schemas.openxmlformats.org/drawingml/2006/main" noChangeAspect="1"/>
                        </wp:cNvGraphicFramePr>
                        <a:graphic xmlns:a="http://schemas.openxmlformats.org/drawingml/2006/main">
                          <a:graphicData uri="http://schemas.openxmlformats.org/drawingml/2006/picture">
                            <pic:pic xmlns:pic="http://schemas.openxmlformats.org/drawingml/2006/picture">
                              <pic:nvPicPr>
                                <pic:cNvPr id="1" name="Image1" descr=""/>
                                <pic:cNvPicPr>
                                  <a:picLocks noChangeAspect="1" noChangeArrowheads="1"/>
                                </pic:cNvPicPr>
                              </pic:nvPicPr>
                              <pic:blipFill>
                                <a:blip r:link="rId4"/>
                                <a:stretch>
                                  <a:fillRect/>
                                </a:stretch>
                              </pic:blipFill>
                              <pic:spPr bwMode="auto">
                                <a:xfrm>
                                  <a:off x="0" y="0"/>
                                  <a:ext cx="142875" cy="142875"/>
                                </a:xfrm>
                                <a:prstGeom prst="rect">
                                  <a:avLst/>
                                </a:prstGeom>
                              </pic:spPr>
                            </pic:pic>
                          </a:graphicData>
                        </a:graphic>
                      </wp:inline>
                    </w:drawing>
                  </w:r>
                </w:p>
              </w:tc>
              <w:tc>
                <w:tcPr>
                  <w:tcW w:w="103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Director</w:t>
                  </w:r>
                </w:p>
              </w:tc>
              <w:tc>
                <w:tcPr>
                  <w:tcW w:w="44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sz w:val="4"/>
                      <w:szCs w:val="4"/>
                    </w:rPr>
                  </w:pPr>
                  <w:r>
                    <w:rPr>
                      <w:sz w:val="4"/>
                      <w:szCs w:val="4"/>
                    </w:rPr>
                  </w:r>
                </w:p>
              </w:tc>
              <w:tc>
                <w:tcPr>
                  <w:tcW w:w="103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10% Owner</w:t>
                  </w:r>
                </w:p>
              </w:tc>
            </w:tr>
            <w:tr>
              <w:trPr/>
              <w:tc>
                <w:tcPr>
                  <w:tcW w:w="44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sz w:val="4"/>
                      <w:szCs w:val="4"/>
                    </w:rPr>
                  </w:pPr>
                  <w:r>
                    <w:rPr>
                      <w:sz w:val="4"/>
                      <w:szCs w:val="4"/>
                    </w:rPr>
                  </w:r>
                </w:p>
              </w:tc>
              <w:tc>
                <w:tcPr>
                  <w:tcW w:w="103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Officer (give title below)</w:t>
                  </w:r>
                </w:p>
              </w:tc>
              <w:tc>
                <w:tcPr>
                  <w:tcW w:w="44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sz w:val="4"/>
                      <w:szCs w:val="4"/>
                    </w:rPr>
                  </w:pPr>
                  <w:r>
                    <w:rPr>
                      <w:sz w:val="4"/>
                      <w:szCs w:val="4"/>
                    </w:rPr>
                  </w:r>
                </w:p>
              </w:tc>
              <w:tc>
                <w:tcPr>
                  <w:tcW w:w="103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Other (specify below)</w:t>
                  </w:r>
                </w:p>
              </w:tc>
            </w:tr>
            <w:tr>
              <w:trPr/>
              <w:tc>
                <w:tcPr>
                  <w:tcW w:w="2942" w:type="dxa"/>
                  <w:gridSpan w:val="4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sz w:val="4"/>
                      <w:szCs w:val="4"/>
                    </w:rPr>
                  </w:pPr>
                  <w:r>
                    <w:rPr>
                      <w:sz w:val="4"/>
                      <w:szCs w:val="4"/>
                    </w:rPr>
                  </w:r>
                </w:p>
              </w:tc>
            </w:tr>
          </w:tbl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2552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5. If Amendment, Date of Original Filed (Month/Day/Year)</w:t>
            </w:r>
          </w:p>
        </w:tc>
      </w:tr>
      <w:tr>
        <w:trPr/>
        <w:tc>
          <w:tcPr>
            <w:tcW w:w="3061" w:type="dxa"/>
            <w:vMerge w:val="continue"/>
            <w:tcBorders>
              <w:left w:val="single" w:sz="6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1530" w:type="dxa"/>
            <w:vMerge w:val="continue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3062" w:type="dxa"/>
            <w:vMerge w:val="continue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2552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0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 xml:space="preserve">6. Individual or Joint/Group Filing (Check Applicable Line) </w:t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364"/>
              <w:gridCol w:w="2068"/>
            </w:tblGrid>
            <w:tr>
              <w:trPr/>
              <w:tc>
                <w:tcPr>
                  <w:tcW w:w="364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center"/>
                    <w:rPr>
                      <w:color w:val="0000FF"/>
                      <w:shd w:fill="FFFFFF" w:val="clear"/>
                    </w:rPr>
                  </w:pPr>
                  <w:r>
                    <w:rPr>
                      <w:color w:val="0000FF"/>
                      <w:shd w:fill="FFFFFF" w:val="clear"/>
                    </w:rPr>
                    <w:drawing>
                      <wp:inline distT="0" distB="0" distL="0" distR="0">
                        <wp:extent cx="142875" cy="142875"/>
                        <wp:effectExtent l="0" t="0" r="0" b="0"/>
                        <wp:docPr id="2" name="Image2" descr=""/>
                        <wp:cNvGraphicFramePr>
                          <a:graphicFrameLocks xmlns:a="http://schemas.openxmlformats.org/drawingml/2006/main" noChangeAspect="1"/>
                        </wp:cNvGraphicFramePr>
                        <a:graphic xmlns:a="http://schemas.openxmlformats.org/drawingml/2006/main">
                          <a:graphicData uri="http://schemas.openxmlformats.org/drawingml/2006/picture">
                            <pic:pic xmlns:pic="http://schemas.openxmlformats.org/drawingml/2006/picture">
                              <pic:nvPicPr>
                                <pic:cNvPr id="2" name="Image2" descr=""/>
                                <pic:cNvPicPr>
                                  <a:picLocks noChangeAspect="1" noChangeArrowheads="1"/>
                                </pic:cNvPicPr>
                              </pic:nvPicPr>
                              <pic:blipFill>
                                <a:blip r:link="rId5"/>
                                <a:stretch>
                                  <a:fillRect/>
                                </a:stretch>
                              </pic:blipFill>
                              <pic:spPr bwMode="auto">
                                <a:xfrm>
                                  <a:off x="0" y="0"/>
                                  <a:ext cx="142875" cy="142875"/>
                                </a:xfrm>
                                <a:prstGeom prst="rect">
                                  <a:avLst/>
                                </a:prstGeom>
                              </pic:spPr>
                            </pic:pic>
                          </a:graphicData>
                        </a:graphic>
                      </wp:inline>
                    </w:drawing>
                  </w:r>
                </w:p>
              </w:tc>
              <w:tc>
                <w:tcPr>
                  <w:tcW w:w="2068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Form filed by One Reporting Person</w:t>
                  </w:r>
                </w:p>
              </w:tc>
            </w:tr>
            <w:tr>
              <w:trPr/>
              <w:tc>
                <w:tcPr>
                  <w:tcW w:w="364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sz w:val="4"/>
                      <w:szCs w:val="4"/>
                    </w:rPr>
                  </w:pPr>
                  <w:r>
                    <w:rPr>
                      <w:sz w:val="4"/>
                      <w:szCs w:val="4"/>
                    </w:rPr>
                  </w:r>
                </w:p>
              </w:tc>
              <w:tc>
                <w:tcPr>
                  <w:tcW w:w="2068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Form filed by More than One Reporting Person</w:t>
                  </w:r>
                </w:p>
              </w:tc>
            </w:tr>
          </w:tbl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</w:tbl>
    <w:tbl>
      <w:tblPr>
        <w:tblW w:w="5000" w:type="pct"/>
        <w:jc w:val="left"/>
        <w:tblInd w:w="-7" w:type="dxa"/>
        <w:tblLayout w:type="fixed"/>
        <w:tblCellMar>
          <w:top w:w="60" w:type="dxa"/>
          <w:left w:w="60" w:type="dxa"/>
          <w:bottom w:w="60" w:type="dxa"/>
          <w:right w:w="60" w:type="dxa"/>
        </w:tblCellMar>
      </w:tblPr>
      <w:tblGrid>
        <w:gridCol w:w="4424"/>
        <w:gridCol w:w="1962"/>
        <w:gridCol w:w="1162"/>
        <w:gridCol w:w="2657"/>
      </w:tblGrid>
      <w:tr>
        <w:trPr>
          <w:tblHeader w:val="true"/>
        </w:trPr>
        <w:tc>
          <w:tcPr>
            <w:tcW w:w="10205" w:type="dxa"/>
            <w:gridSpan w:val="4"/>
            <w:tcBorders>
              <w:top w:val="single" w:sz="6" w:space="0" w:color="808080"/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center"/>
              <w:rPr>
                <w:rFonts w:ascii="arial;helvetica;sans-serif" w:hAnsi="arial;helvetica;sans-serif"/>
                <w:b/>
                <w:sz w:val="24"/>
              </w:rPr>
            </w:pPr>
            <w:r>
              <w:rPr>
                <w:rFonts w:ascii="arial;helvetica;sans-serif" w:hAnsi="arial;helvetica;sans-serif"/>
                <w:b/>
                <w:sz w:val="24"/>
              </w:rPr>
              <w:t>Table I - Non-Derivative Securities Beneficially Owned</w:t>
            </w:r>
          </w:p>
        </w:tc>
      </w:tr>
      <w:tr>
        <w:trPr>
          <w:tblHeader w:val="true"/>
        </w:trPr>
        <w:tc>
          <w:tcPr>
            <w:tcW w:w="4424" w:type="dxa"/>
            <w:tcBorders>
              <w:left w:val="single" w:sz="6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 xml:space="preserve">1. Title of Security (Instr. 4) </w:t>
            </w:r>
          </w:p>
        </w:tc>
        <w:tc>
          <w:tcPr>
            <w:tcW w:w="1962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 xml:space="preserve">2. Amount of Securities Beneficially Owned (Instr. 4) </w:t>
            </w:r>
          </w:p>
        </w:tc>
        <w:tc>
          <w:tcPr>
            <w:tcW w:w="1162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 xml:space="preserve">3. Ownership Form: Direct (D) or Indirect (I) (Instr. 5) </w:t>
            </w:r>
          </w:p>
        </w:tc>
        <w:tc>
          <w:tcPr>
            <w:tcW w:w="2657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 xml:space="preserve">4. Nature of Indirect Beneficial Ownership (Instr. 5) </w:t>
            </w:r>
          </w:p>
        </w:tc>
      </w:tr>
    </w:tbl>
    <w:tbl>
      <w:tblPr>
        <w:tblW w:w="5000" w:type="pct"/>
        <w:jc w:val="left"/>
        <w:tblInd w:w="-7" w:type="dxa"/>
        <w:tblLayout w:type="fixed"/>
        <w:tblCellMar>
          <w:top w:w="60" w:type="dxa"/>
          <w:left w:w="60" w:type="dxa"/>
          <w:bottom w:w="60" w:type="dxa"/>
          <w:right w:w="60" w:type="dxa"/>
        </w:tblCellMar>
      </w:tblPr>
      <w:tblGrid>
        <w:gridCol w:w="1880"/>
        <w:gridCol w:w="1222"/>
        <w:gridCol w:w="1137"/>
        <w:gridCol w:w="1015"/>
        <w:gridCol w:w="957"/>
        <w:gridCol w:w="1285"/>
        <w:gridCol w:w="1256"/>
        <w:gridCol w:w="1453"/>
      </w:tblGrid>
      <w:tr>
        <w:trPr>
          <w:tblHeader w:val="true"/>
        </w:trPr>
        <w:tc>
          <w:tcPr>
            <w:tcW w:w="10205" w:type="dxa"/>
            <w:gridSpan w:val="8"/>
            <w:tcBorders>
              <w:top w:val="single" w:sz="6" w:space="0" w:color="808080"/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center"/>
              <w:rPr>
                <w:rFonts w:ascii="arial;helvetica;sans-serif" w:hAnsi="arial;helvetica;sans-serif"/>
                <w:b w:val="false"/>
                <w:sz w:val="24"/>
              </w:rPr>
            </w:pPr>
            <w:r>
              <w:rPr>
                <w:rFonts w:ascii="arial;helvetica;sans-serif" w:hAnsi="arial;helvetica;sans-serif"/>
                <w:b/>
                <w:sz w:val="24"/>
              </w:rPr>
              <w:t>Table II - Derivative Securities Beneficially Owned</w:t>
            </w:r>
            <w:r>
              <w:rPr>
                <w:rFonts w:ascii="arial;helvetica;sans-serif" w:hAnsi="arial;helvetica;sans-serif"/>
                <w:b w:val="false"/>
                <w:sz w:val="24"/>
              </w:rPr>
              <w:br/>
            </w:r>
            <w:r>
              <w:rPr>
                <w:rFonts w:ascii="arial;helvetica;sans-serif" w:hAnsi="arial;helvetica;sans-serif"/>
                <w:b/>
                <w:sz w:val="24"/>
              </w:rPr>
              <w:t>(e.g., puts, calls, warrants, options, convertible securities)</w:t>
            </w:r>
          </w:p>
        </w:tc>
      </w:tr>
      <w:tr>
        <w:trPr>
          <w:tblHeader w:val="true"/>
        </w:trPr>
        <w:tc>
          <w:tcPr>
            <w:tcW w:w="1880" w:type="dxa"/>
            <w:vMerge w:val="restart"/>
            <w:tcBorders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 xml:space="preserve">1. Title of Derivative Security (Instr. 4) </w:t>
            </w:r>
          </w:p>
        </w:tc>
        <w:tc>
          <w:tcPr>
            <w:tcW w:w="2359" w:type="dxa"/>
            <w:gridSpan w:val="2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2. Date Exercisable and Expiration Date (Month/Day/Year)</w:t>
            </w:r>
          </w:p>
        </w:tc>
        <w:tc>
          <w:tcPr>
            <w:tcW w:w="1972" w:type="dxa"/>
            <w:gridSpan w:val="2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 xml:space="preserve">3. Title and Amount of Securities Underlying Derivative Security (Instr. 4) </w:t>
            </w:r>
          </w:p>
        </w:tc>
        <w:tc>
          <w:tcPr>
            <w:tcW w:w="1285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 xml:space="preserve">4. Conversion or Exercise Price of Derivative Security </w:t>
            </w:r>
          </w:p>
        </w:tc>
        <w:tc>
          <w:tcPr>
            <w:tcW w:w="1256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 xml:space="preserve">5. Ownership Form: Direct (D) or Indirect (I) (Instr. 5) </w:t>
            </w:r>
          </w:p>
        </w:tc>
        <w:tc>
          <w:tcPr>
            <w:tcW w:w="1453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 xml:space="preserve">6. Nature of Indirect Beneficial Ownership (Instr. 5) </w:t>
            </w:r>
          </w:p>
        </w:tc>
      </w:tr>
      <w:tr>
        <w:trPr>
          <w:tblHeader w:val="true"/>
        </w:trPr>
        <w:tc>
          <w:tcPr>
            <w:tcW w:w="1880" w:type="dxa"/>
            <w:vMerge w:val="continue"/>
            <w:tcBorders>
              <w:left w:val="single" w:sz="6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1222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Date Exercisable</w:t>
            </w:r>
          </w:p>
        </w:tc>
        <w:tc>
          <w:tcPr>
            <w:tcW w:w="1137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Expiration Date</w:t>
            </w:r>
          </w:p>
        </w:tc>
        <w:tc>
          <w:tcPr>
            <w:tcW w:w="1015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Title</w:t>
            </w:r>
          </w:p>
        </w:tc>
        <w:tc>
          <w:tcPr>
            <w:tcW w:w="957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Amount or Number of Shares</w:t>
            </w:r>
          </w:p>
        </w:tc>
        <w:tc>
          <w:tcPr>
            <w:tcW w:w="1285" w:type="dxa"/>
            <w:vMerge w:val="continue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1256" w:type="dxa"/>
            <w:vMerge w:val="continue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1453" w:type="dxa"/>
            <w:vMerge w:val="continue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</w:tr>
    </w:tbl>
    <w:tbl>
      <w:tblPr>
        <w:tblW w:w="5000" w:type="pct"/>
        <w:jc w:val="left"/>
        <w:tblInd w:w="0" w:type="dxa"/>
        <w:tblLayout w:type="fixed"/>
        <w:tblCellMar>
          <w:top w:w="28" w:type="dxa"/>
          <w:left w:w="28" w:type="dxa"/>
          <w:bottom w:w="28" w:type="dxa"/>
          <w:right w:w="28" w:type="dxa"/>
        </w:tblCellMar>
      </w:tblPr>
      <w:tblGrid>
        <w:gridCol w:w="10205"/>
      </w:tblGrid>
      <w:tr>
        <w:trPr/>
        <w:tc>
          <w:tcPr>
            <w:tcW w:w="10205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b/>
                <w:sz w:val="20"/>
              </w:rPr>
            </w:pPr>
            <w:r>
              <w:rPr>
                <w:rFonts w:ascii="arial;helvetica;sans-serif" w:hAnsi="arial;helvetica;sans-serif"/>
                <w:b/>
                <w:sz w:val="20"/>
              </w:rPr>
              <w:t>Explanation of Responses:</w:t>
            </w:r>
          </w:p>
        </w:tc>
      </w:tr>
      <w:tr>
        <w:trPr/>
        <w:tc>
          <w:tcPr>
            <w:tcW w:w="10205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b/>
                <w:sz w:val="20"/>
              </w:rPr>
            </w:pPr>
            <w:r>
              <w:rPr>
                <w:rFonts w:ascii="arial;helvetica;sans-serif" w:hAnsi="arial;helvetica;sans-serif"/>
                <w:b/>
                <w:sz w:val="20"/>
              </w:rPr>
              <w:t>No securities are beneficially owned.</w:t>
            </w:r>
          </w:p>
        </w:tc>
      </w:tr>
    </w:tbl>
    <w:tbl>
      <w:tblPr>
        <w:tblW w:w="5000" w:type="pct"/>
        <w:jc w:val="left"/>
        <w:tblInd w:w="0" w:type="dxa"/>
        <w:tblLayout w:type="fixed"/>
        <w:tblCellMar>
          <w:top w:w="28" w:type="dxa"/>
          <w:left w:w="28" w:type="dxa"/>
          <w:bottom w:w="28" w:type="dxa"/>
          <w:right w:w="28" w:type="dxa"/>
        </w:tblCellMar>
      </w:tblPr>
      <w:tblGrid>
        <w:gridCol w:w="6123"/>
        <w:gridCol w:w="2041"/>
        <w:gridCol w:w="2041"/>
      </w:tblGrid>
      <w:tr>
        <w:trPr/>
        <w:tc>
          <w:tcPr>
            <w:tcW w:w="6123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204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00FF"/>
                <w:sz w:val="24"/>
                <w:u w:val="single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u w:val="single"/>
                <w:shd w:fill="FFFFFF" w:val="clear"/>
              </w:rPr>
              <w:t>/s/ Nancy YANG</w:t>
            </w:r>
          </w:p>
        </w:tc>
        <w:tc>
          <w:tcPr>
            <w:tcW w:w="204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00FF"/>
                <w:sz w:val="24"/>
                <w:u w:val="single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u w:val="single"/>
                <w:shd w:fill="FFFFFF" w:val="clear"/>
              </w:rPr>
              <w:t>08/31/2026</w:t>
            </w:r>
          </w:p>
        </w:tc>
      </w:tr>
      <w:tr>
        <w:trPr/>
        <w:tc>
          <w:tcPr>
            <w:tcW w:w="6123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204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** Signature of Reporting Person</w:t>
            </w:r>
          </w:p>
        </w:tc>
        <w:tc>
          <w:tcPr>
            <w:tcW w:w="204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Date</w:t>
            </w:r>
          </w:p>
        </w:tc>
      </w:tr>
      <w:tr>
        <w:trPr/>
        <w:tc>
          <w:tcPr>
            <w:tcW w:w="10205" w:type="dxa"/>
            <w:gridSpan w:val="3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Reminder: Report on a separate line for each class of securities beneficially owned directly or indirectly.</w:t>
            </w:r>
          </w:p>
        </w:tc>
      </w:tr>
      <w:tr>
        <w:trPr/>
        <w:tc>
          <w:tcPr>
            <w:tcW w:w="10205" w:type="dxa"/>
            <w:gridSpan w:val="3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 xml:space="preserve">* If the form is filed by more than one reporting person, </w:t>
            </w:r>
            <w:r>
              <w:rPr>
                <w:rFonts w:ascii="arial;helvetica;sans-serif" w:hAnsi="arial;helvetica;sans-serif"/>
                <w:i/>
                <w:sz w:val="20"/>
              </w:rPr>
              <w:t>see</w:t>
            </w:r>
            <w:r>
              <w:rPr>
                <w:rFonts w:ascii="arial;helvetica;sans-serif" w:hAnsi="arial;helvetica;sans-serif"/>
                <w:sz w:val="20"/>
              </w:rPr>
              <w:t xml:space="preserve"> Instruction 5 (b)(v).</w:t>
            </w:r>
          </w:p>
        </w:tc>
      </w:tr>
      <w:tr>
        <w:trPr/>
        <w:tc>
          <w:tcPr>
            <w:tcW w:w="10205" w:type="dxa"/>
            <w:gridSpan w:val="3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 xml:space="preserve">** Intentional misstatements or omissions of facts constitute Federal Criminal Violations </w:t>
            </w:r>
            <w:r>
              <w:rPr>
                <w:rFonts w:ascii="arial;helvetica;sans-serif" w:hAnsi="arial;helvetica;sans-serif"/>
                <w:i/>
                <w:sz w:val="20"/>
              </w:rPr>
              <w:t>See</w:t>
            </w:r>
            <w:r>
              <w:rPr>
                <w:rFonts w:ascii="arial;helvetica;sans-serif" w:hAnsi="arial;helvetica;sans-serif"/>
                <w:sz w:val="20"/>
              </w:rPr>
              <w:t xml:space="preserve"> 18 U.S.C. 1001 and 15 U.S.C. 78ff(a).</w:t>
            </w:r>
          </w:p>
        </w:tc>
      </w:tr>
      <w:tr>
        <w:trPr/>
        <w:tc>
          <w:tcPr>
            <w:tcW w:w="10205" w:type="dxa"/>
            <w:gridSpan w:val="3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 xml:space="preserve">Note: File three copies of this Form, one of which must be manually signed. If space is insufficient, </w:t>
            </w:r>
            <w:r>
              <w:rPr>
                <w:rFonts w:ascii="arial;helvetica;sans-serif" w:hAnsi="arial;helvetica;sans-serif"/>
                <w:i/>
                <w:sz w:val="20"/>
              </w:rPr>
              <w:t>see</w:t>
            </w:r>
            <w:r>
              <w:rPr>
                <w:rFonts w:ascii="arial;helvetica;sans-serif" w:hAnsi="arial;helvetica;sans-serif"/>
                <w:sz w:val="20"/>
              </w:rPr>
              <w:t xml:space="preserve"> Instruction 6 for procedure.</w:t>
            </w:r>
          </w:p>
        </w:tc>
      </w:tr>
      <w:tr>
        <w:trPr/>
        <w:tc>
          <w:tcPr>
            <w:tcW w:w="10205" w:type="dxa"/>
            <w:gridSpan w:val="3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b/>
                <w:sz w:val="20"/>
              </w:rPr>
            </w:pPr>
            <w:r>
              <w:rPr>
                <w:rFonts w:ascii="arial;helvetica;sans-serif" w:hAnsi="arial;helvetica;sans-serif"/>
                <w:b/>
                <w:sz w:val="20"/>
              </w:rPr>
              <w:t>Persons who respond to the collection of information contained in this form are not required to respond unless the form displays a currently valid OMB Number.</w:t>
            </w:r>
          </w:p>
        </w:tc>
      </w:tr>
    </w:tbl>
    <w:p>
      <w:pPr>
        <w:pStyle w:val="TextBody"/>
        <w:bidi w:val="0"/>
        <w:spacing w:before="0" w:after="283"/>
        <w:jc w:val="left"/>
        <w:rPr/>
      </w:pPr>
      <w:r>
        <w:rPr/>
      </w:r>
    </w:p>
    <w:sectPr>
      <w:type w:val="nextPage"/>
      <w:pgSz w:w="11906" w:h="16838"/>
      <w:pgMar w:left="1134" w:right="567" w:gutter="0" w:header="0" w:top="567" w:footer="0" w:bottom="567"/>
      <w:pgNumType w:fmt="decimal"/>
      <w:formProt w:val="false"/>
      <w:textDirection w:val="lrTb"/>
      <w:docGrid w:type="default" w:linePitch="600" w:charSpace="32768"/>
    </w:sectPr>
  </w:body>
</w:document>
</file>

<file path=word/fontTable.xml><?xml version="1.0" encoding="utf-8"?>
<w:fonts xmlns:w="http://schemas.openxmlformats.org/wordprocessingml/2006/main" xmlns:r="http://schemas.openxmlformats.org/officeDocument/2006/relationships">
  <w:font w:name="Times New Roman">
    <w:charset w:val="00"/>
    <w:family w:val="roman"/>
    <w:pitch w:val="variable"/>
  </w:font>
  <w:font w:name="Symbol">
    <w:charset w:val="02"/>
    <w:family w:val="roman"/>
    <w:pitch w:val="variable"/>
  </w:font>
  <w:font w:name="Arial">
    <w:charset w:val="00"/>
    <w:family w:val="swiss"/>
    <w:pitch w:val="variable"/>
  </w:font>
  <w:font w:name="Liberation Serif">
    <w:altName w:val="Times New Roman"/>
    <w:charset w:val="01"/>
    <w:family w:val="roman"/>
    <w:pitch w:val="variable"/>
  </w:font>
  <w:font w:name="Liberation Sans Unicode MS">
    <w:charset w:val="01"/>
    <w:family w:val="auto"/>
    <w:pitch w:val="variable"/>
  </w:font>
  <w:font w:name="Liberation Sans">
    <w:altName w:val="Arial"/>
    <w:charset w:val="01"/>
    <w:family w:val="swiss"/>
    <w:pitch w:val="variable"/>
  </w:font>
  <w:font w:name="arial">
    <w:altName w:val="helvetica"/>
    <w:charset w:val="01"/>
    <w:family w:val="auto"/>
    <w:pitch w:val="default"/>
  </w:font>
  <w:font w:name="Times">
    <w:altName w:val="Times New Roman"/>
    <w:charset w:val="01"/>
    <w:family w:val="auto"/>
    <w:pitch w:val="default"/>
  </w:font>
</w:fonts>
</file>

<file path=word/settings.xml><?xml version="1.0" encoding="utf-8"?>
<w:settings xmlns:w="http://schemas.openxmlformats.org/wordprocessingml/2006/main">
  <w:zoom w:percent="100"/>
  <w:defaultTabStop w:val="1134"/>
  <w:autoHyphenation w:val="true"/>
  <w:compat>
    <w:compatSetting w:name="compatibilityMode" w:uri="http://schemas.microsoft.com/office/word" w:val="15"/>
  </w:compat>
</w:settings>
</file>

<file path=word/styles.xml><?xml version="1.0" encoding="utf-8"?>
<w:styles xmlns:w="http://schemas.openxmlformats.org/wordprocessingml/2006/main" xmlns:w14="http://schemas.microsoft.com/office/word/2010/wordml" xmlns:mc="http://schemas.openxmlformats.org/markup-compatibility/2006" mc:Ignorable="w14">
  <w:docDefaults>
    <w:rPrDefault>
      <w:rPr>
        <w:rFonts w:ascii="Liberation Serif" w:hAnsi="Liberation Serif" w:eastAsia="Tahoma" w:cs="Noto Sans Devanagari"/>
        <w:sz w:val="24"/>
        <w:szCs w:val="24"/>
        <w:lang w:val="en-US" w:eastAsia="zh-CN" w:bidi="hi-IN"/>
      </w:rPr>
    </w:rPrDefault>
    <w:pPrDefault>
      <w:pPr>
        <w:suppressAutoHyphens w:val="true"/>
      </w:pPr>
    </w:pPrDefault>
  </w:docDefaults>
  <w:style w:type="paragraph" w:styleId="Normal">
    <w:name w:val="Normal"/>
    <w:qFormat/>
    <w:pPr>
      <w:widowControl w:val="false"/>
      <w:kinsoku w:val="true"/>
      <w:overflowPunct w:val="true"/>
      <w:autoSpaceDE w:val="true"/>
      <w:bidi w:val="0"/>
    </w:pPr>
    <w:rPr>
      <w:rFonts w:ascii="Liberation Serif" w:hAnsi="Liberation Serif" w:eastAsia="Tahoma" w:cs="Noto Sans Devanagari"/>
      <w:color w:val="auto"/>
      <w:sz w:val="24"/>
      <w:szCs w:val="24"/>
      <w:lang w:val="en-US" w:eastAsia="zh-CN" w:bidi="hi-IN"/>
    </w:rPr>
  </w:style>
  <w:style w:type="paragraph" w:styleId="Heading1">
    <w:name w:val="Heading 1"/>
    <w:basedOn w:val="Heading"/>
    <w:next w:val="TextBody"/>
    <w:qFormat/>
    <w:pPr/>
    <w:rPr>
      <w:rFonts w:ascii="Liberation Sans Unicode MS" w:hAnsi="Liberation Sans Unicode MS"/>
      <w:b/>
      <w:bCs/>
      <w:sz w:val="48"/>
      <w:szCs w:val="44"/>
    </w:rPr>
  </w:style>
  <w:style w:type="character" w:styleId="EndnoteCharacters">
    <w:name w:val="Endnote Characters"/>
    <w:qFormat/>
    <w:rPr/>
  </w:style>
  <w:style w:type="character" w:styleId="FootnoteCharacters">
    <w:name w:val="Footnote Characters"/>
    <w:qFormat/>
    <w:rPr/>
  </w:style>
  <w:style w:type="character" w:styleId="InternetLink">
    <w:name w:val="Hyperlink"/>
    <w:rPr>
      <w:color w:val="000080"/>
      <w:u w:val="single"/>
    </w:rPr>
  </w:style>
  <w:style w:type="paragraph" w:styleId="HorizontalLine">
    <w:name w:val="Horizontal Line"/>
    <w:basedOn w:val="Normal"/>
    <w:next w:val="TextBody"/>
    <w:qFormat/>
    <w:pPr>
      <w:pBdr>
        <w:bottom w:val="double" w:sz="2" w:space="0" w:color="808080"/>
      </w:pBdr>
      <w:spacing w:before="0" w:after="283"/>
    </w:pPr>
    <w:rPr>
      <w:sz w:val="12"/>
    </w:rPr>
  </w:style>
  <w:style w:type="paragraph" w:styleId="TextBody">
    <w:name w:val="Body Text"/>
    <w:basedOn w:val="Normal"/>
    <w:pPr>
      <w:spacing w:before="0" w:after="283"/>
    </w:pPr>
    <w:rPr/>
  </w:style>
  <w:style w:type="paragraph" w:styleId="Sender">
    <w:name w:val="Envelope Return"/>
    <w:basedOn w:val="Normal"/>
    <w:pPr/>
    <w:rPr>
      <w:i/>
    </w:rPr>
  </w:style>
  <w:style w:type="paragraph" w:styleId="TableContents">
    <w:name w:val="Table Contents"/>
    <w:basedOn w:val="TextBody"/>
    <w:qFormat/>
    <w:pPr/>
    <w:rPr/>
  </w:style>
  <w:style w:type="paragraph" w:styleId="HeaderandFooter">
    <w:name w:val="Header and Footer"/>
    <w:basedOn w:val="Normal"/>
    <w:qFormat/>
    <w:pPr>
      <w:suppressLineNumbers/>
      <w:tabs>
        <w:tab w:val="clear" w:pos="1134"/>
        <w:tab w:val="center" w:pos="4819" w:leader="none"/>
        <w:tab w:val="right" w:pos="9638" w:leader="none"/>
      </w:tabs>
    </w:pPr>
    <w:rPr/>
  </w:style>
  <w:style w:type="paragraph" w:styleId="Footer">
    <w:name w:val="Footer"/>
    <w:basedOn w:val="Normal"/>
    <w:pPr>
      <w:suppressLineNumbers/>
      <w:tabs>
        <w:tab w:val="clear" w:pos="1134"/>
        <w:tab w:val="center" w:pos="4818" w:leader="none"/>
        <w:tab w:val="right" w:pos="9637" w:leader="none"/>
      </w:tabs>
    </w:pPr>
    <w:rPr/>
  </w:style>
  <w:style w:type="paragraph" w:styleId="Header">
    <w:name w:val="Header"/>
    <w:basedOn w:val="Normal"/>
    <w:pPr>
      <w:suppressLineNumbers/>
      <w:tabs>
        <w:tab w:val="clear" w:pos="1134"/>
        <w:tab w:val="center" w:pos="4818" w:leader="none"/>
        <w:tab w:val="right" w:pos="9637" w:leader="none"/>
      </w:tabs>
    </w:pPr>
    <w:rPr/>
  </w:style>
  <w:style w:type="paragraph" w:styleId="Heading">
    <w:name w:val="Heading"/>
    <w:basedOn w:val="Normal"/>
    <w:next w:val="TextBody"/>
    <w:qFormat/>
    <w:pPr>
      <w:keepNext w:val="true"/>
      <w:spacing w:before="240" w:after="283"/>
    </w:pPr>
    <w:rPr>
      <w:rFonts w:ascii="Liberation Sans" w:hAnsi="Liberation Sans"/>
      <w:sz w:val="28"/>
      <w:szCs w:val="28"/>
    </w:rPr>
  </w:style>
  <w:style w:type="paragraph" w:styleId="Index">
    <w:name w:val="Index"/>
    <w:basedOn w:val="Normal"/>
    <w:qFormat/>
    <w:pPr>
      <w:suppressLineNumbers/>
    </w:pPr>
    <w:rPr>
      <w:rFonts w:cs="Noto Sans Devanagari"/>
    </w:rPr>
  </w:style>
  <w:style w:type="paragraph" w:styleId="Caption">
    <w:name w:val="Caption"/>
    <w:basedOn w:val="Normal"/>
    <w:qFormat/>
    <w:pPr>
      <w:suppressLineNumbers/>
      <w:spacing w:before="120" w:after="120"/>
    </w:pPr>
    <w:rPr>
      <w:rFonts w:cs="Noto Sans Devanagari"/>
      <w:i/>
      <w:iCs/>
      <w:sz w:val="24"/>
      <w:szCs w:val="24"/>
    </w:rPr>
  </w:style>
  <w:style w:type="paragraph" w:styleId="List">
    <w:name w:val="List"/>
    <w:basedOn w:val="TextBody"/>
    <w:pPr/>
    <w:rPr>
      <w:rFonts w:cs="Noto Sans Devanagari"/>
    </w:rPr>
  </w:style>
  <w:style w:type="paragraph" w:styleId="TableHeading">
    <w:name w:val="Table Heading"/>
    <w:basedOn w:val="TableContents"/>
    <w:qFormat/>
    <w:pPr>
      <w:suppressLineNumbers/>
      <w:jc w:val="center"/>
    </w:pPr>
    <w:rPr>
      <w:b/>
      <w:bCs/>
    </w:rPr>
  </w:style>
</w:styles>
</file>

<file path=word/_rels/document.xml.rels><?xml version="1.0" encoding="UTF-8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hyperlink" Target="http://www.sec.gov/cgi-bin/browse-edgar?action=getcompany&amp;CIK=0002150221" TargetMode="External"/><Relationship Id="rId3" Type="http://schemas.openxmlformats.org/officeDocument/2006/relationships/hyperlink" Target="http://www.sec.gov/cgi-bin/browse-edgar?action=getcompany&amp;CIK=0002058349" TargetMode="External"/><Relationship Id="rId4" Type="http://schemas.openxmlformats.org/officeDocument/2006/relationships/image" Target="https://cdn.kscope.io/box-checked.jpg" TargetMode="External"/><Relationship Id="rId5" Type="http://schemas.openxmlformats.org/officeDocument/2006/relationships/image" Target="https://cdn.kscope.io/box-checked.jpg" TargetMode="External"/><Relationship Id="rId6" Type="http://schemas.openxmlformats.org/officeDocument/2006/relationships/fontTable" Target="fontTable.xml"/><Relationship Id="rId7" Type="http://schemas.openxmlformats.org/officeDocument/2006/relationships/settings" Target="settings.xml"/>
</Relationships>
</file>

<file path=docProps/app.xml><?xml version="1.0" encoding="utf-8"?>
<Properties xmlns="http://schemas.openxmlformats.org/officeDocument/2006/extended-properties" xmlns:vt="http://schemas.openxmlformats.org/officeDocument/2006/docPropsVTypes">
  <Template/>
  <TotalTime>0</TotalTime>
  <Application>LibreOffice/7.3.7.2$Linux_X86_64 LibreOffice_project/30$Build-2</Application>
  <AppVersion>15.0000</AppVersion>
  <Pages>1</Pages>
  <Words>395</Words>
  <Characters>2182</Characters>
  <CharactersWithSpaces>2533</CharactersWithSpaces>
  <Paragraphs>64</Paragraphs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description/>
  <dc:language>en-US</dc:language>
  <cp:lastModifiedBy/>
  <cp:revision>0</cp:revision>
  <dc:subject/>
  <dc:title/>
</cp:coreProperties>
</file>